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B948" w14:textId="77777777" w:rsidR="002874E4" w:rsidRPr="00896761" w:rsidRDefault="002874E4">
      <w:pPr>
        <w:jc w:val="center"/>
        <w:rPr>
          <w:rFonts w:ascii="Times" w:hAnsi="Times"/>
          <w:b/>
          <w:caps/>
        </w:rPr>
      </w:pPr>
      <w:bookmarkStart w:id="0" w:name="_GoBack"/>
      <w:bookmarkEnd w:id="0"/>
    </w:p>
    <w:p w14:paraId="230FED74" w14:textId="77777777" w:rsidR="002874E4" w:rsidRPr="00896761" w:rsidRDefault="002874E4">
      <w:pPr>
        <w:jc w:val="center"/>
        <w:rPr>
          <w:rFonts w:ascii="Times" w:hAnsi="Times"/>
          <w:b/>
          <w:caps/>
          <w:sz w:val="36"/>
          <w:szCs w:val="36"/>
        </w:rPr>
      </w:pPr>
      <w:r w:rsidRPr="00896761">
        <w:rPr>
          <w:rFonts w:ascii="Times" w:hAnsi="Times"/>
          <w:b/>
          <w:caps/>
          <w:sz w:val="36"/>
          <w:szCs w:val="36"/>
        </w:rPr>
        <w:t>Fişa disciplinei</w:t>
      </w:r>
    </w:p>
    <w:p w14:paraId="35153D01" w14:textId="77777777" w:rsidR="002874E4" w:rsidRPr="00896761" w:rsidRDefault="002874E4">
      <w:pPr>
        <w:jc w:val="both"/>
        <w:rPr>
          <w:rFonts w:ascii="Times" w:hAnsi="Times"/>
          <w:sz w:val="22"/>
        </w:rPr>
      </w:pPr>
    </w:p>
    <w:tbl>
      <w:tblPr>
        <w:tblW w:w="0" w:type="auto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6271"/>
        <w:gridCol w:w="1909"/>
      </w:tblGrid>
      <w:tr w:rsidR="002874E4" w:rsidRPr="00896761" w14:paraId="67C27689" w14:textId="77777777">
        <w:tc>
          <w:tcPr>
            <w:tcW w:w="1720" w:type="dxa"/>
            <w:vAlign w:val="center"/>
          </w:tcPr>
          <w:p w14:paraId="0AD21C3E" w14:textId="77777777" w:rsidR="002874E4" w:rsidRPr="00896761" w:rsidRDefault="002874E4">
            <w:pPr>
              <w:jc w:val="both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Denumirea disciplinei</w:t>
            </w:r>
          </w:p>
        </w:tc>
        <w:tc>
          <w:tcPr>
            <w:tcW w:w="6271" w:type="dxa"/>
            <w:vAlign w:val="center"/>
          </w:tcPr>
          <w:p w14:paraId="399237F0" w14:textId="77777777" w:rsidR="002874E4" w:rsidRPr="00896761" w:rsidRDefault="002874E4">
            <w:pPr>
              <w:jc w:val="both"/>
              <w:rPr>
                <w:rFonts w:ascii="Times" w:hAnsi="Times" w:cs="Arial"/>
                <w:b/>
                <w:caps/>
                <w:sz w:val="20"/>
              </w:rPr>
            </w:pPr>
            <w:r w:rsidRPr="00896761">
              <w:rPr>
                <w:rFonts w:ascii="Times" w:hAnsi="Times" w:cs="Arial"/>
                <w:b/>
                <w:bCs/>
                <w:caps/>
                <w:sz w:val="20"/>
              </w:rPr>
              <w:t>CERCETĂRI AVANSATE ÎN FINANŢE</w:t>
            </w:r>
          </w:p>
        </w:tc>
        <w:tc>
          <w:tcPr>
            <w:tcW w:w="1909" w:type="dxa"/>
            <w:vAlign w:val="center"/>
          </w:tcPr>
          <w:p w14:paraId="3978BB9E" w14:textId="77777777" w:rsidR="002874E4" w:rsidRPr="00896761" w:rsidRDefault="002874E4">
            <w:pPr>
              <w:jc w:val="both"/>
              <w:rPr>
                <w:rFonts w:ascii="Times" w:hAnsi="Times" w:cs="Arial"/>
                <w:smallCaps/>
                <w:sz w:val="20"/>
              </w:rPr>
            </w:pPr>
            <w:r w:rsidRPr="00896761">
              <w:rPr>
                <w:rFonts w:ascii="Times" w:hAnsi="Times" w:cs="Arial"/>
                <w:smallCaps/>
                <w:sz w:val="20"/>
              </w:rPr>
              <w:t xml:space="preserve">cod: </w:t>
            </w:r>
          </w:p>
        </w:tc>
      </w:tr>
    </w:tbl>
    <w:p w14:paraId="2A4A5351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0" w:type="auto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406"/>
        <w:gridCol w:w="1383"/>
        <w:gridCol w:w="797"/>
        <w:gridCol w:w="5043"/>
        <w:gridCol w:w="957"/>
      </w:tblGrid>
      <w:tr w:rsidR="002874E4" w:rsidRPr="00896761" w14:paraId="25E21229" w14:textId="77777777">
        <w:trPr>
          <w:trHeight w:val="294"/>
        </w:trPr>
        <w:tc>
          <w:tcPr>
            <w:tcW w:w="1314" w:type="dxa"/>
            <w:vAlign w:val="center"/>
          </w:tcPr>
          <w:p w14:paraId="006B1356" w14:textId="77777777" w:rsidR="002874E4" w:rsidRPr="00896761" w:rsidRDefault="002874E4" w:rsidP="002874E4">
            <w:pPr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Anul de studiu</w:t>
            </w:r>
          </w:p>
        </w:tc>
        <w:tc>
          <w:tcPr>
            <w:tcW w:w="406" w:type="dxa"/>
            <w:vAlign w:val="center"/>
          </w:tcPr>
          <w:p w14:paraId="26D1739B" w14:textId="77777777" w:rsidR="002874E4" w:rsidRPr="00896761" w:rsidRDefault="002874E4">
            <w:pPr>
              <w:jc w:val="center"/>
              <w:rPr>
                <w:rFonts w:ascii="Times" w:hAnsi="Times" w:cs="Arial"/>
                <w:b/>
                <w:bCs/>
                <w:smallCaps/>
                <w:sz w:val="20"/>
              </w:rPr>
            </w:pPr>
            <w:r w:rsidRPr="00896761">
              <w:rPr>
                <w:rFonts w:ascii="Times" w:hAnsi="Times" w:cs="Arial"/>
                <w:b/>
                <w:bCs/>
                <w:smallCaps/>
                <w:sz w:val="20"/>
              </w:rPr>
              <w:t>i</w:t>
            </w:r>
          </w:p>
        </w:tc>
        <w:tc>
          <w:tcPr>
            <w:tcW w:w="1383" w:type="dxa"/>
            <w:vAlign w:val="center"/>
          </w:tcPr>
          <w:p w14:paraId="4C4CBEFA" w14:textId="77777777" w:rsidR="002874E4" w:rsidRPr="00896761" w:rsidRDefault="002874E4">
            <w:pPr>
              <w:jc w:val="center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Semestrul</w:t>
            </w:r>
          </w:p>
        </w:tc>
        <w:tc>
          <w:tcPr>
            <w:tcW w:w="797" w:type="dxa"/>
            <w:vAlign w:val="center"/>
          </w:tcPr>
          <w:p w14:paraId="37474E9B" w14:textId="77777777" w:rsidR="002874E4" w:rsidRPr="00896761" w:rsidRDefault="002874E4">
            <w:pPr>
              <w:jc w:val="center"/>
              <w:rPr>
                <w:rFonts w:ascii="Times" w:hAnsi="Times" w:cs="Arial"/>
                <w:b/>
                <w:bCs/>
                <w:smallCaps/>
                <w:sz w:val="20"/>
              </w:rPr>
            </w:pPr>
            <w:r w:rsidRPr="00896761">
              <w:rPr>
                <w:rFonts w:ascii="Times" w:hAnsi="Times" w:cs="Arial"/>
                <w:b/>
                <w:bCs/>
                <w:smallCaps/>
                <w:sz w:val="20"/>
              </w:rPr>
              <w:t>1</w:t>
            </w:r>
          </w:p>
        </w:tc>
        <w:tc>
          <w:tcPr>
            <w:tcW w:w="5043" w:type="dxa"/>
            <w:vAlign w:val="center"/>
          </w:tcPr>
          <w:p w14:paraId="459F60EE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Statutul disciplinei (</w:t>
            </w:r>
            <w:r w:rsidRPr="00896761">
              <w:rPr>
                <w:rFonts w:ascii="Times" w:hAnsi="Times"/>
                <w:b/>
                <w:smallCaps/>
                <w:sz w:val="20"/>
              </w:rPr>
              <w:t>ob</w:t>
            </w:r>
            <w:r w:rsidRPr="00896761">
              <w:rPr>
                <w:rFonts w:ascii="Times" w:hAnsi="Times"/>
                <w:smallCaps/>
                <w:sz w:val="20"/>
              </w:rPr>
              <w:t>-</w:t>
            </w:r>
            <w:r w:rsidRPr="00896761">
              <w:rPr>
                <w:rFonts w:ascii="Times" w:hAnsi="Times"/>
                <w:sz w:val="20"/>
              </w:rPr>
              <w:t>obligatorie</w:t>
            </w:r>
            <w:r w:rsidRPr="00896761">
              <w:rPr>
                <w:rFonts w:ascii="Times" w:hAnsi="Times"/>
                <w:smallCaps/>
                <w:sz w:val="20"/>
              </w:rPr>
              <w:t>/</w:t>
            </w:r>
            <w:r w:rsidRPr="00896761">
              <w:rPr>
                <w:rFonts w:ascii="Times" w:hAnsi="Times"/>
                <w:b/>
                <w:smallCaps/>
                <w:sz w:val="20"/>
              </w:rPr>
              <w:t>op</w:t>
            </w:r>
            <w:r w:rsidRPr="00896761">
              <w:rPr>
                <w:rFonts w:ascii="Times" w:hAnsi="Times"/>
                <w:smallCaps/>
                <w:sz w:val="20"/>
              </w:rPr>
              <w:t>-</w:t>
            </w:r>
            <w:r w:rsidRPr="00896761">
              <w:rPr>
                <w:rFonts w:ascii="Times" w:hAnsi="Times"/>
                <w:sz w:val="20"/>
              </w:rPr>
              <w:t>opţională</w:t>
            </w:r>
            <w:r w:rsidRPr="00896761">
              <w:rPr>
                <w:rFonts w:ascii="Times" w:hAnsi="Times"/>
                <w:smallCaps/>
                <w:sz w:val="20"/>
              </w:rPr>
              <w:t>/</w:t>
            </w:r>
            <w:r w:rsidRPr="00896761">
              <w:rPr>
                <w:rFonts w:ascii="Times" w:hAnsi="Times"/>
                <w:b/>
                <w:smallCaps/>
                <w:sz w:val="20"/>
              </w:rPr>
              <w:t>f</w:t>
            </w:r>
            <w:r w:rsidRPr="00896761">
              <w:rPr>
                <w:rFonts w:ascii="Times" w:hAnsi="Times"/>
                <w:smallCaps/>
                <w:sz w:val="20"/>
              </w:rPr>
              <w:t>-</w:t>
            </w:r>
            <w:r w:rsidRPr="00896761">
              <w:rPr>
                <w:rFonts w:ascii="Times" w:hAnsi="Times"/>
                <w:sz w:val="20"/>
              </w:rPr>
              <w:t>facultativă</w:t>
            </w:r>
            <w:r w:rsidRPr="00896761">
              <w:rPr>
                <w:rFonts w:ascii="Times" w:hAnsi="Times"/>
                <w:smallCaps/>
                <w:sz w:val="20"/>
              </w:rPr>
              <w:t>)</w:t>
            </w:r>
          </w:p>
        </w:tc>
        <w:tc>
          <w:tcPr>
            <w:tcW w:w="957" w:type="dxa"/>
            <w:vAlign w:val="center"/>
          </w:tcPr>
          <w:p w14:paraId="0E567563" w14:textId="77777777" w:rsidR="002874E4" w:rsidRPr="00896761" w:rsidRDefault="002874E4">
            <w:pPr>
              <w:jc w:val="center"/>
              <w:rPr>
                <w:rFonts w:ascii="Times" w:hAnsi="Times" w:cs="Arial"/>
                <w:b/>
                <w:bCs/>
                <w:smallCaps/>
                <w:sz w:val="20"/>
              </w:rPr>
            </w:pPr>
            <w:r w:rsidRPr="00896761">
              <w:rPr>
                <w:rFonts w:ascii="Times" w:hAnsi="Times" w:cs="Arial"/>
                <w:b/>
                <w:bCs/>
                <w:smallCaps/>
                <w:sz w:val="20"/>
              </w:rPr>
              <w:t>op</w:t>
            </w:r>
          </w:p>
        </w:tc>
      </w:tr>
    </w:tbl>
    <w:p w14:paraId="6CDF7566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9902" w:type="dxa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"/>
        <w:gridCol w:w="450"/>
        <w:gridCol w:w="450"/>
        <w:gridCol w:w="411"/>
        <w:gridCol w:w="1216"/>
        <w:gridCol w:w="1204"/>
        <w:gridCol w:w="960"/>
        <w:gridCol w:w="2879"/>
        <w:gridCol w:w="1923"/>
      </w:tblGrid>
      <w:tr w:rsidR="002874E4" w:rsidRPr="00896761" w14:paraId="44FD205D" w14:textId="77777777" w:rsidTr="00164BBF">
        <w:tc>
          <w:tcPr>
            <w:tcW w:w="1720" w:type="dxa"/>
            <w:gridSpan w:val="4"/>
            <w:vAlign w:val="center"/>
          </w:tcPr>
          <w:p w14:paraId="53A7C755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Numărul orelor pe SĂPTĂMÂNĂ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6696FCB1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Total  ore semestru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14:paraId="4968F2F5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Total ore</w:t>
            </w:r>
          </w:p>
          <w:p w14:paraId="5A3D86FB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activitate</w:t>
            </w:r>
          </w:p>
          <w:p w14:paraId="05702D32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individualA*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14:paraId="3B827AC1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Număr  de credite</w:t>
            </w:r>
          </w:p>
        </w:tc>
        <w:tc>
          <w:tcPr>
            <w:tcW w:w="2879" w:type="dxa"/>
            <w:tcBorders>
              <w:bottom w:val="nil"/>
            </w:tcBorders>
            <w:vAlign w:val="center"/>
          </w:tcPr>
          <w:p w14:paraId="17AC22AB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Tipul  de  evaluare</w:t>
            </w:r>
          </w:p>
          <w:p w14:paraId="41BACAD2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z w:val="16"/>
              </w:rPr>
              <w:t>(</w:t>
            </w:r>
            <w:r w:rsidRPr="00896761">
              <w:rPr>
                <w:rFonts w:ascii="Times" w:hAnsi="Times"/>
                <w:b/>
                <w:sz w:val="16"/>
              </w:rPr>
              <w:t>P</w:t>
            </w:r>
            <w:r w:rsidRPr="00896761">
              <w:rPr>
                <w:rFonts w:ascii="Times" w:hAnsi="Times"/>
                <w:sz w:val="16"/>
              </w:rPr>
              <w:t xml:space="preserve">-pe parcurs, </w:t>
            </w:r>
            <w:r w:rsidRPr="00896761">
              <w:rPr>
                <w:rFonts w:ascii="Times" w:hAnsi="Times"/>
                <w:b/>
                <w:sz w:val="16"/>
              </w:rPr>
              <w:t>C</w:t>
            </w:r>
            <w:r w:rsidRPr="00896761">
              <w:rPr>
                <w:rFonts w:ascii="Times" w:hAnsi="Times"/>
                <w:sz w:val="16"/>
              </w:rPr>
              <w:t xml:space="preserve">-colocviu, </w:t>
            </w:r>
            <w:r w:rsidRPr="00896761">
              <w:rPr>
                <w:rFonts w:ascii="Times" w:hAnsi="Times"/>
                <w:b/>
                <w:sz w:val="16"/>
              </w:rPr>
              <w:t>E</w:t>
            </w:r>
            <w:r w:rsidRPr="00896761">
              <w:rPr>
                <w:rFonts w:ascii="Times" w:hAnsi="Times"/>
                <w:sz w:val="16"/>
              </w:rPr>
              <w:t xml:space="preserve">-examen, </w:t>
            </w:r>
            <w:r w:rsidRPr="00896761">
              <w:rPr>
                <w:rFonts w:ascii="Times" w:hAnsi="Times"/>
                <w:b/>
                <w:sz w:val="16"/>
              </w:rPr>
              <w:t>M</w:t>
            </w:r>
            <w:r w:rsidRPr="00896761">
              <w:rPr>
                <w:rFonts w:ascii="Times" w:hAnsi="Times"/>
                <w:sz w:val="16"/>
              </w:rPr>
              <w:t>-mixt)</w:t>
            </w: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3603A5D1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18"/>
              </w:rPr>
            </w:pPr>
            <w:r w:rsidRPr="00896761">
              <w:rPr>
                <w:rFonts w:ascii="Times" w:hAnsi="Times"/>
                <w:smallCaps/>
                <w:sz w:val="18"/>
              </w:rPr>
              <w:t>LIMBA DE PREDARE</w:t>
            </w:r>
          </w:p>
        </w:tc>
      </w:tr>
      <w:tr w:rsidR="002874E4" w:rsidRPr="00896761" w14:paraId="64EA3615" w14:textId="77777777" w:rsidTr="00164BBF">
        <w:tc>
          <w:tcPr>
            <w:tcW w:w="409" w:type="dxa"/>
          </w:tcPr>
          <w:p w14:paraId="3DCF56AB" w14:textId="77777777" w:rsidR="009647D5" w:rsidRPr="00896761" w:rsidRDefault="002874E4" w:rsidP="009647D5">
            <w:pPr>
              <w:jc w:val="center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z w:val="20"/>
              </w:rPr>
              <w:t>C</w:t>
            </w:r>
          </w:p>
        </w:tc>
        <w:tc>
          <w:tcPr>
            <w:tcW w:w="450" w:type="dxa"/>
          </w:tcPr>
          <w:p w14:paraId="563CB184" w14:textId="77777777" w:rsidR="002874E4" w:rsidRDefault="002874E4" w:rsidP="002874E4">
            <w:pPr>
              <w:jc w:val="center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z w:val="20"/>
              </w:rPr>
              <w:t>S</w:t>
            </w:r>
          </w:p>
          <w:p w14:paraId="7172F529" w14:textId="77777777" w:rsidR="009647D5" w:rsidRPr="00896761" w:rsidRDefault="009647D5" w:rsidP="002874E4">
            <w:pPr>
              <w:jc w:val="center"/>
              <w:rPr>
                <w:rFonts w:ascii="Times" w:hAnsi="Times"/>
                <w:sz w:val="20"/>
              </w:rPr>
            </w:pPr>
          </w:p>
        </w:tc>
        <w:tc>
          <w:tcPr>
            <w:tcW w:w="450" w:type="dxa"/>
          </w:tcPr>
          <w:p w14:paraId="6234086C" w14:textId="77777777" w:rsidR="002874E4" w:rsidRPr="00896761" w:rsidRDefault="002874E4" w:rsidP="002874E4">
            <w:pPr>
              <w:jc w:val="center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z w:val="20"/>
              </w:rPr>
              <w:t>L</w:t>
            </w:r>
          </w:p>
        </w:tc>
        <w:tc>
          <w:tcPr>
            <w:tcW w:w="411" w:type="dxa"/>
          </w:tcPr>
          <w:p w14:paraId="0134120C" w14:textId="77777777" w:rsidR="002874E4" w:rsidRPr="00896761" w:rsidRDefault="002874E4" w:rsidP="002874E4">
            <w:pPr>
              <w:jc w:val="center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z w:val="20"/>
              </w:rPr>
              <w:t>Pr.</w:t>
            </w:r>
          </w:p>
        </w:tc>
        <w:tc>
          <w:tcPr>
            <w:tcW w:w="1216" w:type="dxa"/>
            <w:tcBorders>
              <w:bottom w:val="nil"/>
            </w:tcBorders>
            <w:vAlign w:val="center"/>
          </w:tcPr>
          <w:p w14:paraId="45A4FEAC" w14:textId="77777777" w:rsidR="002874E4" w:rsidRPr="00896761" w:rsidRDefault="00E428D0">
            <w:pPr>
              <w:jc w:val="center"/>
              <w:rPr>
                <w:rFonts w:ascii="Times" w:hAnsi="Times"/>
                <w:smallCaps/>
                <w:sz w:val="20"/>
              </w:rPr>
            </w:pPr>
            <w:r>
              <w:rPr>
                <w:rFonts w:ascii="Times" w:hAnsi="Times"/>
                <w:smallCaps/>
                <w:sz w:val="20"/>
              </w:rPr>
              <w:t>15</w:t>
            </w:r>
            <w:r w:rsidR="009647D5">
              <w:rPr>
                <w:rFonts w:ascii="Times" w:hAnsi="Times"/>
                <w:smallCaps/>
                <w:sz w:val="20"/>
              </w:rPr>
              <w:t>0</w:t>
            </w:r>
          </w:p>
        </w:tc>
        <w:tc>
          <w:tcPr>
            <w:tcW w:w="1204" w:type="dxa"/>
            <w:tcBorders>
              <w:bottom w:val="nil"/>
            </w:tcBorders>
            <w:vAlign w:val="center"/>
          </w:tcPr>
          <w:p w14:paraId="65CADBAF" w14:textId="77777777" w:rsidR="002874E4" w:rsidRPr="00896761" w:rsidRDefault="009647D5">
            <w:pPr>
              <w:jc w:val="center"/>
              <w:rPr>
                <w:rFonts w:ascii="Times" w:hAnsi="Times"/>
                <w:smallCaps/>
                <w:sz w:val="20"/>
              </w:rPr>
            </w:pPr>
            <w:r>
              <w:rPr>
                <w:rFonts w:ascii="Times" w:hAnsi="Times"/>
                <w:smallCaps/>
                <w:sz w:val="20"/>
              </w:rPr>
              <w:t>135</w:t>
            </w:r>
          </w:p>
        </w:tc>
        <w:tc>
          <w:tcPr>
            <w:tcW w:w="960" w:type="dxa"/>
            <w:tcBorders>
              <w:bottom w:val="nil"/>
            </w:tcBorders>
            <w:vAlign w:val="center"/>
          </w:tcPr>
          <w:p w14:paraId="325AADA7" w14:textId="77777777" w:rsidR="002874E4" w:rsidRPr="00896761" w:rsidRDefault="00E428D0">
            <w:pPr>
              <w:jc w:val="center"/>
              <w:rPr>
                <w:rFonts w:ascii="Times" w:hAnsi="Times"/>
                <w:smallCaps/>
                <w:sz w:val="20"/>
              </w:rPr>
            </w:pPr>
            <w:r>
              <w:rPr>
                <w:rFonts w:ascii="Times" w:hAnsi="Times"/>
                <w:smallCaps/>
                <w:sz w:val="20"/>
              </w:rPr>
              <w:t>5</w:t>
            </w:r>
          </w:p>
        </w:tc>
        <w:tc>
          <w:tcPr>
            <w:tcW w:w="2879" w:type="dxa"/>
            <w:tcBorders>
              <w:bottom w:val="nil"/>
            </w:tcBorders>
            <w:vAlign w:val="center"/>
          </w:tcPr>
          <w:p w14:paraId="5BC4BAC8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e</w:t>
            </w: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253E5FB4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18"/>
              </w:rPr>
            </w:pPr>
            <w:r w:rsidRPr="00896761">
              <w:rPr>
                <w:rFonts w:ascii="Times" w:hAnsi="Times"/>
                <w:smallCaps/>
                <w:sz w:val="18"/>
              </w:rPr>
              <w:t>ro</w:t>
            </w:r>
          </w:p>
        </w:tc>
      </w:tr>
      <w:tr w:rsidR="002874E4" w:rsidRPr="00896761" w14:paraId="4DDCEC4B" w14:textId="77777777" w:rsidTr="00164BBF">
        <w:trPr>
          <w:trHeight w:val="297"/>
        </w:trPr>
        <w:tc>
          <w:tcPr>
            <w:tcW w:w="409" w:type="dxa"/>
            <w:vAlign w:val="center"/>
          </w:tcPr>
          <w:p w14:paraId="0829BE97" w14:textId="77777777" w:rsidR="002874E4" w:rsidRPr="00896761" w:rsidRDefault="00E428D0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44815D1B" w14:textId="77777777" w:rsidR="002874E4" w:rsidRPr="00896761" w:rsidRDefault="00E428D0">
            <w:pPr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1DD9BC4" w14:textId="77777777" w:rsidR="002874E4" w:rsidRPr="00896761" w:rsidRDefault="00E428D0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411" w:type="dxa"/>
            <w:tcBorders>
              <w:top w:val="single" w:sz="4" w:space="0" w:color="auto"/>
            </w:tcBorders>
            <w:vAlign w:val="center"/>
          </w:tcPr>
          <w:p w14:paraId="1DAD8892" w14:textId="77777777" w:rsidR="002874E4" w:rsidRPr="00896761" w:rsidRDefault="00E428D0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55CFEC4" w14:textId="77777777" w:rsidR="002874E4" w:rsidRPr="00896761" w:rsidRDefault="002874E4">
            <w:pPr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14:paraId="7BA661BE" w14:textId="77777777" w:rsidR="002874E4" w:rsidRPr="00896761" w:rsidRDefault="002874E4" w:rsidP="002874E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14:paraId="3900AD3C" w14:textId="77777777" w:rsidR="002874E4" w:rsidRPr="00896761" w:rsidRDefault="002874E4" w:rsidP="002874E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</w:tcPr>
          <w:p w14:paraId="6A02B055" w14:textId="77777777" w:rsidR="002874E4" w:rsidRPr="00896761" w:rsidRDefault="002874E4" w:rsidP="002874E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0433AF68" w14:textId="77777777" w:rsidR="002874E4" w:rsidRPr="00896761" w:rsidRDefault="002874E4" w:rsidP="002874E4">
            <w:pPr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14:paraId="2F61C5F9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0" w:type="auto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6"/>
        <w:gridCol w:w="4629"/>
        <w:gridCol w:w="3531"/>
      </w:tblGrid>
      <w:tr w:rsidR="002874E4" w:rsidRPr="00896761" w14:paraId="0BED4103" w14:textId="77777777">
        <w:trPr>
          <w:cantSplit/>
        </w:trPr>
        <w:tc>
          <w:tcPr>
            <w:tcW w:w="1734" w:type="dxa"/>
            <w:vAlign w:val="center"/>
          </w:tcPr>
          <w:p w14:paraId="54F4BB4C" w14:textId="77777777" w:rsidR="002874E4" w:rsidRPr="00896761" w:rsidRDefault="002874E4">
            <w:pPr>
              <w:jc w:val="both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Titularul  disciplinei</w:t>
            </w:r>
          </w:p>
        </w:tc>
        <w:tc>
          <w:tcPr>
            <w:tcW w:w="4635" w:type="dxa"/>
            <w:gridSpan w:val="2"/>
            <w:vAlign w:val="center"/>
          </w:tcPr>
          <w:p w14:paraId="4BC22448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Gradul didactic şi ştiinţific, prenumele, numele</w:t>
            </w:r>
          </w:p>
          <w:p w14:paraId="20EC4416" w14:textId="77777777" w:rsidR="002874E4" w:rsidRPr="00896761" w:rsidRDefault="002874E4" w:rsidP="002874E4">
            <w:pPr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prof. dr. Ovidiu stoica</w:t>
            </w:r>
          </w:p>
          <w:p w14:paraId="22FCCBBF" w14:textId="77777777" w:rsidR="002874E4" w:rsidRPr="00896761" w:rsidRDefault="002874E4" w:rsidP="002874E4">
            <w:pPr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 xml:space="preserve">Prof. Dr. </w:t>
            </w:r>
            <w:r w:rsidR="00164BBF" w:rsidRPr="00896761">
              <w:rPr>
                <w:rFonts w:ascii="Times" w:hAnsi="Times"/>
                <w:smallCaps/>
                <w:sz w:val="20"/>
              </w:rPr>
              <w:t xml:space="preserve">Sebastian </w:t>
            </w:r>
            <w:r w:rsidRPr="00896761">
              <w:rPr>
                <w:rFonts w:ascii="Times" w:hAnsi="Times"/>
                <w:smallCaps/>
                <w:sz w:val="20"/>
              </w:rPr>
              <w:t>Bogdan C</w:t>
            </w:r>
            <w:r w:rsidR="00622029" w:rsidRPr="00896761">
              <w:rPr>
                <w:smallCaps/>
                <w:sz w:val="20"/>
              </w:rPr>
              <w:t>Ă</w:t>
            </w:r>
            <w:r w:rsidRPr="00896761">
              <w:rPr>
                <w:rFonts w:ascii="Times" w:hAnsi="Times"/>
                <w:smallCaps/>
                <w:sz w:val="20"/>
              </w:rPr>
              <w:t>praru</w:t>
            </w:r>
          </w:p>
          <w:p w14:paraId="57212A5D" w14:textId="77777777" w:rsidR="002874E4" w:rsidRPr="00896761" w:rsidRDefault="00052EC1" w:rsidP="002874E4">
            <w:pPr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PROF</w:t>
            </w:r>
            <w:r w:rsidR="002874E4" w:rsidRPr="00896761">
              <w:rPr>
                <w:rFonts w:ascii="Times" w:hAnsi="Times"/>
                <w:smallCaps/>
                <w:sz w:val="20"/>
              </w:rPr>
              <w:t xml:space="preserve">. Dr. </w:t>
            </w:r>
            <w:r w:rsidR="00164BBF" w:rsidRPr="00896761">
              <w:rPr>
                <w:rFonts w:ascii="Times" w:hAnsi="Times"/>
                <w:smallCaps/>
                <w:sz w:val="20"/>
              </w:rPr>
              <w:t>Marius Alin Andrie</w:t>
            </w:r>
            <w:r w:rsidR="00164BBF" w:rsidRPr="00896761">
              <w:rPr>
                <w:smallCaps/>
                <w:sz w:val="20"/>
              </w:rPr>
              <w:t>Ş</w:t>
            </w:r>
          </w:p>
          <w:p w14:paraId="2E6312AB" w14:textId="77777777" w:rsidR="00052EC1" w:rsidRDefault="00164BBF" w:rsidP="002874E4">
            <w:pPr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 xml:space="preserve">prof. dr. </w:t>
            </w:r>
            <w:r w:rsidR="00622029" w:rsidRPr="00896761">
              <w:rPr>
                <w:rFonts w:ascii="Times" w:hAnsi="Times"/>
                <w:smallCaps/>
                <w:sz w:val="20"/>
              </w:rPr>
              <w:t>Sorin</w:t>
            </w:r>
            <w:r w:rsidRPr="00896761">
              <w:rPr>
                <w:rFonts w:ascii="Times" w:hAnsi="Times"/>
                <w:smallCaps/>
                <w:sz w:val="20"/>
              </w:rPr>
              <w:t xml:space="preserve"> </w:t>
            </w:r>
            <w:r w:rsidR="00622029" w:rsidRPr="00896761">
              <w:rPr>
                <w:rFonts w:ascii="Times" w:hAnsi="Times"/>
                <w:smallCaps/>
                <w:sz w:val="20"/>
              </w:rPr>
              <w:t xml:space="preserve">Gabriel </w:t>
            </w:r>
            <w:r w:rsidRPr="00896761">
              <w:rPr>
                <w:rFonts w:ascii="Times" w:hAnsi="Times"/>
                <w:smallCaps/>
                <w:sz w:val="20"/>
              </w:rPr>
              <w:t>anton</w:t>
            </w:r>
          </w:p>
          <w:p w14:paraId="29CFFEA4" w14:textId="50412C8B" w:rsidR="002874E4" w:rsidRPr="00896761" w:rsidRDefault="00FE2E46" w:rsidP="002874E4">
            <w:pPr>
              <w:rPr>
                <w:rFonts w:ascii="Times" w:hAnsi="Times"/>
                <w:smallCaps/>
                <w:sz w:val="20"/>
              </w:rPr>
            </w:pPr>
            <w:r>
              <w:rPr>
                <w:rFonts w:ascii="Times" w:hAnsi="Times"/>
                <w:smallCaps/>
                <w:sz w:val="20"/>
              </w:rPr>
              <w:t>Lect. dr. nicu sprincean</w:t>
            </w:r>
          </w:p>
        </w:tc>
        <w:tc>
          <w:tcPr>
            <w:tcW w:w="3531" w:type="dxa"/>
            <w:vAlign w:val="center"/>
          </w:tcPr>
          <w:p w14:paraId="2B68AF39" w14:textId="77777777" w:rsidR="002874E4" w:rsidRPr="00896761" w:rsidRDefault="002874E4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DEPARTAMENT</w:t>
            </w:r>
          </w:p>
          <w:p w14:paraId="6A16E8C8" w14:textId="77777777" w:rsidR="002874E4" w:rsidRPr="00896761" w:rsidRDefault="00622029" w:rsidP="00164BBF">
            <w:pPr>
              <w:jc w:val="center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Finanțe</w:t>
            </w:r>
            <w:r w:rsidR="002874E4" w:rsidRPr="00896761">
              <w:rPr>
                <w:rFonts w:ascii="Times" w:hAnsi="Times"/>
                <w:smallCaps/>
                <w:sz w:val="20"/>
              </w:rPr>
              <w:t xml:space="preserve">, </w:t>
            </w:r>
            <w:r w:rsidRPr="00896761">
              <w:rPr>
                <w:rFonts w:ascii="Times" w:hAnsi="Times"/>
                <w:smallCaps/>
                <w:sz w:val="20"/>
              </w:rPr>
              <w:t>Moned</w:t>
            </w:r>
            <w:r w:rsidRPr="00896761">
              <w:rPr>
                <w:smallCaps/>
                <w:sz w:val="20"/>
              </w:rPr>
              <w:t>ă</w:t>
            </w:r>
            <w:r w:rsidR="00164BBF" w:rsidRPr="00896761">
              <w:rPr>
                <w:rFonts w:ascii="Times" w:hAnsi="Times"/>
                <w:smallCaps/>
                <w:sz w:val="20"/>
              </w:rPr>
              <w:t xml:space="preserve"> </w:t>
            </w:r>
            <w:r w:rsidRPr="00896761">
              <w:rPr>
                <w:smallCaps/>
                <w:sz w:val="20"/>
              </w:rPr>
              <w:t>Ș</w:t>
            </w:r>
            <w:r w:rsidRPr="00896761">
              <w:rPr>
                <w:rFonts w:ascii="Times" w:hAnsi="Times"/>
                <w:smallCaps/>
                <w:sz w:val="20"/>
              </w:rPr>
              <w:t>i</w:t>
            </w:r>
            <w:r w:rsidR="00164BBF" w:rsidRPr="00896761">
              <w:rPr>
                <w:rFonts w:ascii="Times" w:hAnsi="Times"/>
                <w:smallCaps/>
                <w:sz w:val="20"/>
              </w:rPr>
              <w:t xml:space="preserve"> </w:t>
            </w:r>
            <w:r w:rsidRPr="00896761">
              <w:rPr>
                <w:rFonts w:ascii="Times" w:hAnsi="Times"/>
                <w:smallCaps/>
                <w:sz w:val="20"/>
              </w:rPr>
              <w:t>Administra</w:t>
            </w:r>
            <w:r w:rsidRPr="00896761">
              <w:rPr>
                <w:smallCaps/>
                <w:sz w:val="20"/>
              </w:rPr>
              <w:t>ț</w:t>
            </w:r>
            <w:r w:rsidRPr="00896761">
              <w:rPr>
                <w:rFonts w:ascii="Times" w:hAnsi="Times"/>
                <w:smallCaps/>
                <w:sz w:val="20"/>
              </w:rPr>
              <w:t>ie</w:t>
            </w:r>
            <w:r w:rsidR="002874E4" w:rsidRPr="00896761">
              <w:rPr>
                <w:rFonts w:ascii="Times" w:hAnsi="Times"/>
                <w:smallCaps/>
                <w:sz w:val="20"/>
              </w:rPr>
              <w:t xml:space="preserve"> </w:t>
            </w:r>
            <w:r w:rsidRPr="00896761">
              <w:rPr>
                <w:rFonts w:ascii="Times" w:hAnsi="Times"/>
                <w:smallCaps/>
                <w:sz w:val="20"/>
              </w:rPr>
              <w:t>Public</w:t>
            </w:r>
            <w:r w:rsidRPr="00896761">
              <w:rPr>
                <w:smallCaps/>
                <w:sz w:val="20"/>
              </w:rPr>
              <w:t>ă</w:t>
            </w:r>
          </w:p>
        </w:tc>
      </w:tr>
      <w:tr w:rsidR="002874E4" w:rsidRPr="00896761" w14:paraId="3868004E" w14:textId="77777777">
        <w:tblPrEx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740" w:type="dxa"/>
            <w:gridSpan w:val="2"/>
            <w:vAlign w:val="center"/>
          </w:tcPr>
          <w:p w14:paraId="27E3C956" w14:textId="77777777" w:rsidR="002874E4" w:rsidRPr="00896761" w:rsidRDefault="002874E4" w:rsidP="002874E4">
            <w:pPr>
              <w:spacing w:before="60"/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Discipline anterior absolvite</w:t>
            </w:r>
          </w:p>
        </w:tc>
        <w:tc>
          <w:tcPr>
            <w:tcW w:w="8160" w:type="dxa"/>
            <w:gridSpan w:val="2"/>
          </w:tcPr>
          <w:p w14:paraId="68AFB963" w14:textId="77777777" w:rsidR="002874E4" w:rsidRPr="00896761" w:rsidRDefault="002874E4">
            <w:pPr>
              <w:spacing w:before="60"/>
              <w:jc w:val="both"/>
              <w:rPr>
                <w:rFonts w:ascii="Times" w:hAnsi="Times"/>
                <w:sz w:val="20"/>
              </w:rPr>
            </w:pPr>
          </w:p>
        </w:tc>
      </w:tr>
    </w:tbl>
    <w:p w14:paraId="08E0750D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9900" w:type="dxa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8160"/>
      </w:tblGrid>
      <w:tr w:rsidR="002874E4" w:rsidRPr="00896761" w14:paraId="7B3AE9C7" w14:textId="77777777" w:rsidTr="00622029">
        <w:trPr>
          <w:trHeight w:val="1185"/>
        </w:trPr>
        <w:tc>
          <w:tcPr>
            <w:tcW w:w="1740" w:type="dxa"/>
            <w:vMerge w:val="restart"/>
          </w:tcPr>
          <w:p w14:paraId="25F7167E" w14:textId="77777777" w:rsidR="002874E4" w:rsidRPr="00896761" w:rsidRDefault="002874E4">
            <w:pPr>
              <w:spacing w:before="60"/>
              <w:rPr>
                <w:rFonts w:ascii="Times" w:hAnsi="Times"/>
                <w:smallCaps/>
                <w:sz w:val="18"/>
                <w:szCs w:val="18"/>
              </w:rPr>
            </w:pPr>
            <w:r w:rsidRPr="00896761">
              <w:rPr>
                <w:rFonts w:ascii="Times" w:hAnsi="Times"/>
                <w:smallCaps/>
                <w:sz w:val="18"/>
                <w:szCs w:val="18"/>
              </w:rPr>
              <w:t xml:space="preserve">OBIECTIVELE DISCIPLINEI </w:t>
            </w:r>
          </w:p>
          <w:p w14:paraId="13269E0B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ind w:left="16"/>
              <w:rPr>
                <w:rFonts w:ascii="Times" w:hAnsi="Times" w:cs="Arial"/>
                <w:iCs/>
                <w:color w:val="FF0000"/>
                <w:sz w:val="18"/>
                <w:szCs w:val="18"/>
              </w:rPr>
            </w:pPr>
          </w:p>
          <w:p w14:paraId="4B89BD4C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ind w:left="16"/>
              <w:rPr>
                <w:rFonts w:ascii="Times" w:hAnsi="Times" w:cs="Arial"/>
                <w:color w:val="FF0000"/>
                <w:sz w:val="16"/>
                <w:szCs w:val="16"/>
              </w:rPr>
            </w:pPr>
          </w:p>
        </w:tc>
        <w:tc>
          <w:tcPr>
            <w:tcW w:w="8160" w:type="dxa"/>
            <w:tcBorders>
              <w:bottom w:val="single" w:sz="4" w:space="0" w:color="000000"/>
            </w:tcBorders>
          </w:tcPr>
          <w:p w14:paraId="7E2FFA60" w14:textId="77777777" w:rsidR="002874E4" w:rsidRPr="00896761" w:rsidRDefault="002874E4" w:rsidP="002874E4">
            <w:pPr>
              <w:spacing w:before="60"/>
              <w:jc w:val="both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OBIECTIVUL GENERAL:</w:t>
            </w:r>
          </w:p>
          <w:p w14:paraId="11A5390D" w14:textId="77777777" w:rsidR="002874E4" w:rsidRPr="00896761" w:rsidRDefault="002874E4" w:rsidP="002874E4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 xml:space="preserve"> furnizarea de informaţii şi cunoştinţe avansate, specifice domeniului financiar-bancar ĩn vederea formării interdisciplinare şi dezvoltării de competenţe transferabile ĩn acord cu nevoile  actuale de sprijinire a iniţiativei antreprenoriale şi a competitivităţii care satisfac cerinţele  specifice pieţei </w:t>
            </w:r>
          </w:p>
          <w:p w14:paraId="0A8A6B16" w14:textId="77777777" w:rsidR="002874E4" w:rsidRPr="00896761" w:rsidRDefault="002874E4" w:rsidP="002874E4">
            <w:pPr>
              <w:spacing w:before="60"/>
              <w:jc w:val="both"/>
              <w:rPr>
                <w:rFonts w:ascii="Times" w:hAnsi="Times"/>
                <w:sz w:val="20"/>
                <w:szCs w:val="20"/>
              </w:rPr>
            </w:pPr>
          </w:p>
        </w:tc>
      </w:tr>
      <w:tr w:rsidR="002874E4" w:rsidRPr="00896761" w14:paraId="7A4A1A5A" w14:textId="77777777" w:rsidTr="00622029">
        <w:trPr>
          <w:trHeight w:val="829"/>
        </w:trPr>
        <w:tc>
          <w:tcPr>
            <w:tcW w:w="1740" w:type="dxa"/>
            <w:vMerge/>
          </w:tcPr>
          <w:p w14:paraId="1E277FBD" w14:textId="77777777" w:rsidR="002874E4" w:rsidRPr="00896761" w:rsidRDefault="002874E4">
            <w:pPr>
              <w:spacing w:before="60"/>
              <w:rPr>
                <w:rFonts w:ascii="Times" w:hAnsi="Times"/>
                <w:smallCaps/>
                <w:sz w:val="20"/>
                <w:szCs w:val="20"/>
              </w:rPr>
            </w:pPr>
          </w:p>
        </w:tc>
        <w:tc>
          <w:tcPr>
            <w:tcW w:w="8160" w:type="dxa"/>
            <w:tcBorders>
              <w:top w:val="single" w:sz="4" w:space="0" w:color="000000"/>
            </w:tcBorders>
          </w:tcPr>
          <w:p w14:paraId="6C5C46A8" w14:textId="77777777" w:rsidR="002874E4" w:rsidRPr="00896761" w:rsidRDefault="002874E4" w:rsidP="002874E4">
            <w:pPr>
              <w:spacing w:before="60"/>
              <w:jc w:val="both"/>
              <w:rPr>
                <w:rFonts w:ascii="Times" w:hAnsi="Times" w:cs="Arial"/>
                <w:sz w:val="20"/>
                <w:szCs w:val="20"/>
                <w:u w:val="single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 xml:space="preserve">OBIECTIVE SPECIFICE VIZÂND COMPETENŢELE CONCRETIZATE ÎN </w:t>
            </w: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CUNOŞTINŢE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, </w:t>
            </w: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DEPRINDERI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ŞI/SAU </w:t>
            </w:r>
            <w:r w:rsidRPr="00896761">
              <w:rPr>
                <w:rFonts w:ascii="Times" w:hAnsi="Times" w:cs="Arial"/>
                <w:sz w:val="20"/>
                <w:szCs w:val="20"/>
                <w:u w:val="single"/>
              </w:rPr>
              <w:t>COMPETENŢE GENERALE</w:t>
            </w:r>
          </w:p>
          <w:p w14:paraId="2B0F826F" w14:textId="77777777" w:rsidR="002874E4" w:rsidRPr="00896761" w:rsidRDefault="002874E4" w:rsidP="002874E4">
            <w:pPr>
              <w:numPr>
                <w:ilvl w:val="0"/>
                <w:numId w:val="3"/>
              </w:numPr>
              <w:tabs>
                <w:tab w:val="clear" w:pos="971"/>
                <w:tab w:val="num" w:pos="418"/>
              </w:tabs>
              <w:autoSpaceDE w:val="0"/>
              <w:autoSpaceDN w:val="0"/>
              <w:adjustRightInd w:val="0"/>
              <w:spacing w:before="120"/>
              <w:ind w:left="418" w:hanging="392"/>
              <w:jc w:val="both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competenţe cognitive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(</w:t>
            </w:r>
            <w:r w:rsidRPr="00896761">
              <w:rPr>
                <w:rFonts w:ascii="Times" w:hAnsi="Times" w:cs="Arial"/>
                <w:i/>
                <w:sz w:val="20"/>
                <w:szCs w:val="20"/>
              </w:rPr>
              <w:t>cunoştinţe</w:t>
            </w:r>
            <w:r w:rsidRPr="00896761">
              <w:rPr>
                <w:rFonts w:ascii="Times" w:hAnsi="Times" w:cs="Arial"/>
                <w:sz w:val="20"/>
                <w:szCs w:val="20"/>
              </w:rPr>
              <w:t>)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</w:t>
            </w:r>
          </w:p>
          <w:p w14:paraId="0D0BA947" w14:textId="77777777" w:rsidR="002874E4" w:rsidRPr="00896761" w:rsidRDefault="002874E4" w:rsidP="002874E4">
            <w:p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-să ĩnţeleagă mecanismele  </w:t>
            </w:r>
            <w:r w:rsidRPr="00896761">
              <w:rPr>
                <w:rFonts w:ascii="Times" w:hAnsi="Times"/>
                <w:sz w:val="20"/>
                <w:szCs w:val="20"/>
              </w:rPr>
              <w:t>dezintermedierii şi universalizării, ale reglementării şi dereglementării în activitatea bancară</w:t>
            </w:r>
          </w:p>
          <w:p w14:paraId="1369D12D" w14:textId="77777777" w:rsidR="002874E4" w:rsidRPr="00896761" w:rsidRDefault="002874E4" w:rsidP="002874E4">
            <w:pPr>
              <w:tabs>
                <w:tab w:val="left" w:pos="709"/>
              </w:tabs>
              <w:spacing w:before="60"/>
              <w:jc w:val="both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-să cunoască avantajele financiare oferite de noile tipuri de finanţări, ĩn vederea fundamentării de decizii financiare raţionale</w:t>
            </w:r>
          </w:p>
          <w:p w14:paraId="5D8A70A8" w14:textId="77777777" w:rsidR="002874E4" w:rsidRPr="00896761" w:rsidRDefault="002874E4" w:rsidP="002874E4">
            <w:pPr>
              <w:numPr>
                <w:ilvl w:val="0"/>
                <w:numId w:val="3"/>
              </w:numPr>
              <w:tabs>
                <w:tab w:val="clear" w:pos="971"/>
                <w:tab w:val="num" w:pos="418"/>
              </w:tabs>
              <w:autoSpaceDE w:val="0"/>
              <w:autoSpaceDN w:val="0"/>
              <w:adjustRightInd w:val="0"/>
              <w:spacing w:before="120"/>
              <w:ind w:left="418" w:hanging="392"/>
              <w:jc w:val="both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competenţe funcţionale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(</w:t>
            </w:r>
            <w:r w:rsidRPr="00896761">
              <w:rPr>
                <w:rFonts w:ascii="Times" w:hAnsi="Times" w:cs="Arial"/>
                <w:i/>
                <w:iCs/>
                <w:sz w:val="20"/>
                <w:szCs w:val="20"/>
              </w:rPr>
              <w:t>deprinderi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sau </w:t>
            </w:r>
            <w:r w:rsidRPr="00896761">
              <w:rPr>
                <w:rFonts w:ascii="Times" w:hAnsi="Times" w:cs="Arial"/>
                <w:sz w:val="20"/>
                <w:szCs w:val="20"/>
              </w:rPr>
              <w:t>capacităţi de utilizare a cunoştinţelor într-o situaţie de muncă dată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>)</w:t>
            </w:r>
          </w:p>
          <w:p w14:paraId="2310B78C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ind w:left="26"/>
              <w:jc w:val="both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 să ĩntocmească documente necesare obţinerii de resurse de finanţare de la diverşi creditori, ĩn condiţiile asigurării unui cost redus al capitalului;</w:t>
            </w:r>
          </w:p>
          <w:p w14:paraId="535E3985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-să aplice şi să analize modele econometrice cu impact asupra performanţelor entităţilor financiar-bancare </w:t>
            </w:r>
          </w:p>
          <w:p w14:paraId="60D17DFA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-să calculeze şi să interpreteze: ratele de analiză a capacităţii firmei de a-şi onora obligaţiile de plată, ratele de analiză a gradului de finanţare prin ĩndatorare, ratele de analiză a eficienţei utilizării activelor, ratele de analiză a eficienţei echipei manageriale</w:t>
            </w:r>
          </w:p>
          <w:p w14:paraId="5FDAD7C7" w14:textId="77777777" w:rsidR="002874E4" w:rsidRPr="00896761" w:rsidRDefault="002874E4" w:rsidP="002874E4">
            <w:pPr>
              <w:numPr>
                <w:ilvl w:val="0"/>
                <w:numId w:val="3"/>
              </w:numPr>
              <w:tabs>
                <w:tab w:val="clear" w:pos="971"/>
                <w:tab w:val="num" w:pos="418"/>
              </w:tabs>
              <w:autoSpaceDE w:val="0"/>
              <w:autoSpaceDN w:val="0"/>
              <w:adjustRightInd w:val="0"/>
              <w:spacing w:before="120"/>
              <w:ind w:left="418" w:hanging="392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competenţe personale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</w:t>
            </w:r>
          </w:p>
          <w:p w14:paraId="6994E613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-să ĩnţeleagă rolul fundamental al managerilor şi analiştilor ĩn domeniul financiar-bancar, ĩn alinierea intereselor celor implicaţi ĩntr-o afacere la obiectivele şi sistemul de valori al corporaţiei;</w:t>
            </w:r>
          </w:p>
          <w:p w14:paraId="104B5F9D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lastRenderedPageBreak/>
              <w:t xml:space="preserve">-să manifeste o atitudine responsabilă şi obiectivă ĩn discuţiile cu furnizorii de capitaluri, pentru a asigura la momentul oportun,  resursele de finanţare necesare întreprinderii;  </w:t>
            </w:r>
          </w:p>
          <w:p w14:paraId="369FD56A" w14:textId="77777777" w:rsidR="002874E4" w:rsidRPr="00896761" w:rsidRDefault="002874E4" w:rsidP="002874E4">
            <w:pPr>
              <w:tabs>
                <w:tab w:val="left" w:pos="1020"/>
              </w:tabs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color w:val="FF0000"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-să adopte o politică fermă de recuperare a creanţelor pentru a preveni lipsa de lichi</w:t>
            </w:r>
            <w:r w:rsidR="003E7952">
              <w:rPr>
                <w:rFonts w:ascii="Times" w:hAnsi="Times" w:cs="Arial"/>
                <w:iCs/>
                <w:sz w:val="20"/>
                <w:szCs w:val="20"/>
              </w:rPr>
              <w:t>dit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>ăţi ale furnizorilor de capitaluri</w:t>
            </w:r>
          </w:p>
          <w:p w14:paraId="2CCB1302" w14:textId="77777777" w:rsidR="002874E4" w:rsidRPr="00896761" w:rsidRDefault="002874E4" w:rsidP="002874E4">
            <w:pPr>
              <w:numPr>
                <w:ilvl w:val="0"/>
                <w:numId w:val="3"/>
              </w:numPr>
              <w:tabs>
                <w:tab w:val="clear" w:pos="971"/>
                <w:tab w:val="num" w:pos="418"/>
              </w:tabs>
              <w:autoSpaceDE w:val="0"/>
              <w:autoSpaceDN w:val="0"/>
              <w:adjustRightInd w:val="0"/>
              <w:spacing w:before="120"/>
              <w:ind w:left="418" w:hanging="392"/>
              <w:rPr>
                <w:rFonts w:ascii="Times" w:hAnsi="Times" w:cs="Arial"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  <w:u w:val="single"/>
              </w:rPr>
              <w:t>competenţe generale</w:t>
            </w:r>
            <w:r w:rsidRPr="00896761">
              <w:rPr>
                <w:rFonts w:ascii="Times" w:hAnsi="Times" w:cs="Arial"/>
                <w:iCs/>
                <w:sz w:val="20"/>
                <w:szCs w:val="20"/>
              </w:rPr>
              <w:t xml:space="preserve"> </w:t>
            </w:r>
          </w:p>
          <w:p w14:paraId="05A502DB" w14:textId="77777777" w:rsidR="002874E4" w:rsidRPr="00896761" w:rsidRDefault="002874E4" w:rsidP="002874E4">
            <w:pPr>
              <w:autoSpaceDE w:val="0"/>
              <w:autoSpaceDN w:val="0"/>
              <w:adjustRightInd w:val="0"/>
              <w:spacing w:before="120"/>
              <w:rPr>
                <w:rFonts w:ascii="Times" w:hAnsi="Times" w:cs="Arial"/>
                <w:iCs/>
                <w:sz w:val="20"/>
                <w:szCs w:val="20"/>
              </w:rPr>
            </w:pPr>
            <w:r w:rsidRPr="00896761">
              <w:rPr>
                <w:rFonts w:ascii="Times" w:hAnsi="Times" w:cs="Arial"/>
                <w:iCs/>
                <w:sz w:val="20"/>
                <w:szCs w:val="20"/>
              </w:rPr>
              <w:t>-să prevină apariţia conflictelor ĩntre “stakeholders”, promovând respectul reciproc ĩn afaceri;</w:t>
            </w:r>
          </w:p>
          <w:p w14:paraId="266B37D8" w14:textId="77777777" w:rsidR="002874E4" w:rsidRPr="00896761" w:rsidRDefault="002874E4" w:rsidP="002874E4">
            <w:p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-să adopte decizii de evitare a falimentului şi de salvare a ĩntreprinderii, dacă rezultatele analizei financiare permit acest lucru,</w:t>
            </w:r>
            <w:r w:rsidR="007F7CD5" w:rsidRPr="00896761">
              <w:rPr>
                <w:rFonts w:ascii="Times" w:hAnsi="Times"/>
                <w:sz w:val="20"/>
                <w:szCs w:val="20"/>
              </w:rPr>
              <w:t xml:space="preserve"> </w:t>
            </w:r>
            <w:r w:rsidRPr="00896761">
              <w:rPr>
                <w:rFonts w:ascii="Times" w:hAnsi="Times"/>
                <w:sz w:val="20"/>
                <w:szCs w:val="20"/>
              </w:rPr>
              <w:t>iar perspectivele restructurării sunt favorabile menţinerii firmei in mediul de afaceri</w:t>
            </w:r>
          </w:p>
        </w:tc>
      </w:tr>
      <w:tr w:rsidR="002874E4" w:rsidRPr="00896761" w14:paraId="779E381D" w14:textId="77777777" w:rsidTr="00622029">
        <w:trPr>
          <w:trHeight w:val="1309"/>
        </w:trPr>
        <w:tc>
          <w:tcPr>
            <w:tcW w:w="1740" w:type="dxa"/>
          </w:tcPr>
          <w:p w14:paraId="07E1FA71" w14:textId="77777777" w:rsidR="002874E4" w:rsidRPr="00896761" w:rsidRDefault="002874E4">
            <w:pPr>
              <w:spacing w:before="60"/>
              <w:rPr>
                <w:rFonts w:ascii="Times" w:hAnsi="Times"/>
                <w:sz w:val="18"/>
                <w:szCs w:val="18"/>
              </w:rPr>
            </w:pPr>
            <w:r w:rsidRPr="00896761">
              <w:rPr>
                <w:rFonts w:ascii="Times" w:hAnsi="Times"/>
                <w:smallCaps/>
                <w:sz w:val="18"/>
                <w:szCs w:val="18"/>
              </w:rPr>
              <w:lastRenderedPageBreak/>
              <w:t>TEMATICA DISCIPLINEI PE CAPITOLE SI TEME</w:t>
            </w:r>
          </w:p>
        </w:tc>
        <w:tc>
          <w:tcPr>
            <w:tcW w:w="8160" w:type="dxa"/>
          </w:tcPr>
          <w:p w14:paraId="03516B64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Fundamente teoretice ale intermedierii financiare</w:t>
            </w:r>
          </w:p>
          <w:p w14:paraId="6591807E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Activitatea de creditare</w:t>
            </w:r>
          </w:p>
          <w:p w14:paraId="19FB3F37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Contractul de depozit</w:t>
            </w:r>
          </w:p>
          <w:p w14:paraId="56B4D880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Politici monetare convenţionale şi non-convenţionale</w:t>
            </w:r>
          </w:p>
          <w:p w14:paraId="72E29730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Noul business bancar în contextul băncii virtuale şi al monedei electronice.</w:t>
            </w:r>
          </w:p>
          <w:p w14:paraId="79CF13D4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Competiție în domeniul bancar</w:t>
            </w:r>
          </w:p>
          <w:p w14:paraId="1838B4EA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Performanță bancară</w:t>
            </w:r>
          </w:p>
          <w:p w14:paraId="52812317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Sisteme bancare comparate</w:t>
            </w:r>
          </w:p>
          <w:p w14:paraId="3F2BF808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 xml:space="preserve">Reglementarea financiară în </w:t>
            </w:r>
            <w:r w:rsidR="00622029" w:rsidRPr="00896761">
              <w:rPr>
                <w:rFonts w:ascii="Times" w:hAnsi="Times"/>
                <w:sz w:val="20"/>
                <w:szCs w:val="20"/>
              </w:rPr>
              <w:t>contextul</w:t>
            </w:r>
            <w:r w:rsidRPr="00896761">
              <w:rPr>
                <w:rFonts w:ascii="Times" w:hAnsi="Times"/>
                <w:sz w:val="20"/>
                <w:szCs w:val="20"/>
              </w:rPr>
              <w:t xml:space="preserve"> globalizării</w:t>
            </w:r>
          </w:p>
          <w:p w14:paraId="14D71A1C" w14:textId="77777777" w:rsidR="002874E4" w:rsidRPr="00896761" w:rsidRDefault="002874E4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Integrarea financiară în Uniunea Europeană. Provocări şi perspective</w:t>
            </w:r>
          </w:p>
          <w:p w14:paraId="1B11576D" w14:textId="77777777" w:rsidR="00622029" w:rsidRPr="00896761" w:rsidRDefault="00622029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Surse alternative de finanțare a firmelor</w:t>
            </w:r>
          </w:p>
          <w:p w14:paraId="0353AD5E" w14:textId="77777777" w:rsidR="00622029" w:rsidRPr="00896761" w:rsidRDefault="00622029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Factori determinanți ai performanței firmelor nefinanciare</w:t>
            </w:r>
          </w:p>
          <w:p w14:paraId="3C2EAE8A" w14:textId="77777777" w:rsidR="00622029" w:rsidRDefault="00622029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Consiliile fiscale și implicațiile asupra finanțelor publice</w:t>
            </w:r>
          </w:p>
          <w:p w14:paraId="112FA555" w14:textId="741F9078" w:rsidR="008E14CC" w:rsidRPr="00896761" w:rsidRDefault="008E14CC" w:rsidP="00622029">
            <w:pPr>
              <w:pStyle w:val="ListParagraph"/>
              <w:numPr>
                <w:ilvl w:val="0"/>
                <w:numId w:val="20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Finanțe sustenabile și investițiile ESG</w:t>
            </w:r>
          </w:p>
          <w:p w14:paraId="65EAB13C" w14:textId="77777777" w:rsidR="002874E4" w:rsidRPr="00896761" w:rsidRDefault="002874E4" w:rsidP="002874E4">
            <w:pPr>
              <w:tabs>
                <w:tab w:val="num" w:pos="175"/>
              </w:tabs>
              <w:ind w:left="175"/>
              <w:rPr>
                <w:rFonts w:ascii="Times" w:hAnsi="Times"/>
                <w:sz w:val="20"/>
                <w:szCs w:val="20"/>
              </w:rPr>
            </w:pPr>
          </w:p>
        </w:tc>
      </w:tr>
      <w:tr w:rsidR="00622029" w:rsidRPr="00896761" w14:paraId="52473AC7" w14:textId="77777777" w:rsidTr="00622029">
        <w:trPr>
          <w:trHeight w:val="1323"/>
        </w:trPr>
        <w:tc>
          <w:tcPr>
            <w:tcW w:w="1740" w:type="dxa"/>
          </w:tcPr>
          <w:p w14:paraId="0BDBB144" w14:textId="77777777" w:rsidR="00622029" w:rsidRPr="00896761" w:rsidRDefault="00622029" w:rsidP="00622029">
            <w:pPr>
              <w:spacing w:before="120"/>
              <w:rPr>
                <w:rFonts w:ascii="Times" w:hAnsi="Times"/>
                <w:smallCaps/>
                <w:sz w:val="18"/>
                <w:szCs w:val="18"/>
              </w:rPr>
            </w:pPr>
            <w:r w:rsidRPr="00896761">
              <w:rPr>
                <w:rFonts w:ascii="Times" w:hAnsi="Times"/>
                <w:smallCaps/>
                <w:sz w:val="18"/>
                <w:szCs w:val="18"/>
              </w:rPr>
              <w:t>TEMATICA LUCRĂRILOR  APLICATIVE</w:t>
            </w:r>
          </w:p>
        </w:tc>
        <w:tc>
          <w:tcPr>
            <w:tcW w:w="8160" w:type="dxa"/>
          </w:tcPr>
          <w:p w14:paraId="062C3395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Fundamente teoretice ale intermedierii financiare</w:t>
            </w:r>
          </w:p>
          <w:p w14:paraId="68C37F3E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Activitatea de creditare</w:t>
            </w:r>
          </w:p>
          <w:p w14:paraId="2EF55C7E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Contractul de depozit</w:t>
            </w:r>
          </w:p>
          <w:p w14:paraId="15EA27FD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Politici monetare convenţionale şi non-convenţionale</w:t>
            </w:r>
          </w:p>
          <w:p w14:paraId="530CE30F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Noul business bancar în contextul băncii virtuale şi al monedei electronice.</w:t>
            </w:r>
          </w:p>
          <w:p w14:paraId="306FA199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Competiție în domeniul bancar</w:t>
            </w:r>
          </w:p>
          <w:p w14:paraId="45973AAE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Performanță bancară</w:t>
            </w:r>
          </w:p>
          <w:p w14:paraId="55B305B8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Sisteme bancare comparate</w:t>
            </w:r>
          </w:p>
          <w:p w14:paraId="4FEF3BE2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Reglementarea financiară în contextul globalizării</w:t>
            </w:r>
          </w:p>
          <w:p w14:paraId="27D9375A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Integrarea financiară în Uniunea Europeană. Provocări şi perspective</w:t>
            </w:r>
          </w:p>
          <w:p w14:paraId="532D40E6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Surse alternative de finanțare a firmelor</w:t>
            </w:r>
          </w:p>
          <w:p w14:paraId="0A1FA328" w14:textId="77777777" w:rsidR="00622029" w:rsidRPr="00896761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Factori determinanți ai performanței firmelor nefinanciare</w:t>
            </w:r>
          </w:p>
          <w:p w14:paraId="7AC2E2B6" w14:textId="77777777" w:rsidR="00622029" w:rsidRDefault="00622029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Consiliile fiscale și implicațiile asupra finanțelor publice</w:t>
            </w:r>
          </w:p>
          <w:p w14:paraId="3FB44339" w14:textId="77777777" w:rsidR="008E14CC" w:rsidRPr="00896761" w:rsidRDefault="008E14CC" w:rsidP="008E14CC">
            <w:pPr>
              <w:pStyle w:val="ListParagraph"/>
              <w:numPr>
                <w:ilvl w:val="0"/>
                <w:numId w:val="21"/>
              </w:num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Finanțe sustenabile și investițiile ESG</w:t>
            </w:r>
          </w:p>
          <w:p w14:paraId="21804E44" w14:textId="77777777" w:rsidR="00622029" w:rsidRPr="00896761" w:rsidRDefault="00622029" w:rsidP="00622029">
            <w:pPr>
              <w:tabs>
                <w:tab w:val="num" w:pos="175"/>
              </w:tabs>
              <w:ind w:left="175"/>
              <w:rPr>
                <w:rFonts w:ascii="Times" w:hAnsi="Times"/>
                <w:sz w:val="20"/>
                <w:szCs w:val="20"/>
              </w:rPr>
            </w:pPr>
          </w:p>
        </w:tc>
      </w:tr>
      <w:tr w:rsidR="002874E4" w:rsidRPr="00896761" w14:paraId="4D51D01F" w14:textId="77777777" w:rsidTr="00622029">
        <w:trPr>
          <w:trHeight w:val="682"/>
        </w:trPr>
        <w:tc>
          <w:tcPr>
            <w:tcW w:w="1740" w:type="dxa"/>
          </w:tcPr>
          <w:p w14:paraId="11A6C75A" w14:textId="77777777" w:rsidR="002874E4" w:rsidRPr="00896761" w:rsidRDefault="002874E4">
            <w:pPr>
              <w:spacing w:before="120"/>
              <w:rPr>
                <w:rFonts w:ascii="Times" w:hAnsi="Times"/>
                <w:smallCaps/>
                <w:sz w:val="18"/>
              </w:rPr>
            </w:pPr>
            <w:r w:rsidRPr="00896761">
              <w:rPr>
                <w:rFonts w:ascii="Times" w:hAnsi="Times"/>
                <w:smallCaps/>
                <w:sz w:val="18"/>
              </w:rPr>
              <w:t>METODE DE PREDARE</w:t>
            </w:r>
          </w:p>
        </w:tc>
        <w:tc>
          <w:tcPr>
            <w:tcW w:w="8160" w:type="dxa"/>
            <w:vAlign w:val="center"/>
          </w:tcPr>
          <w:p w14:paraId="463A801E" w14:textId="77777777" w:rsidR="002874E4" w:rsidRPr="00896761" w:rsidRDefault="002874E4" w:rsidP="002874E4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 xml:space="preserve"> </w:t>
            </w:r>
            <w:r w:rsidRPr="00896761">
              <w:rPr>
                <w:rFonts w:ascii="Times" w:hAnsi="Times"/>
                <w:sz w:val="20"/>
                <w:szCs w:val="20"/>
              </w:rPr>
              <w:t>dezbatere, curs interactiv, problematizarea</w:t>
            </w:r>
          </w:p>
        </w:tc>
      </w:tr>
    </w:tbl>
    <w:p w14:paraId="56AA0B34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0" w:type="auto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160"/>
      </w:tblGrid>
      <w:tr w:rsidR="002874E4" w:rsidRPr="00896761" w14:paraId="52A454E7" w14:textId="77777777">
        <w:trPr>
          <w:trHeight w:val="1288"/>
        </w:trPr>
        <w:tc>
          <w:tcPr>
            <w:tcW w:w="1740" w:type="dxa"/>
          </w:tcPr>
          <w:p w14:paraId="547CB0D7" w14:textId="77777777" w:rsidR="002874E4" w:rsidRPr="00896761" w:rsidRDefault="002874E4">
            <w:pPr>
              <w:jc w:val="both"/>
              <w:rPr>
                <w:rFonts w:ascii="Times" w:hAnsi="Times"/>
                <w:smallCaps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 xml:space="preserve">Bibliografie </w:t>
            </w:r>
          </w:p>
          <w:p w14:paraId="4E9917F9" w14:textId="77777777" w:rsidR="002874E4" w:rsidRPr="00896761" w:rsidRDefault="002874E4">
            <w:pPr>
              <w:jc w:val="both"/>
              <w:rPr>
                <w:rFonts w:ascii="Times" w:hAnsi="Times"/>
                <w:sz w:val="20"/>
              </w:rPr>
            </w:pPr>
          </w:p>
        </w:tc>
        <w:tc>
          <w:tcPr>
            <w:tcW w:w="8160" w:type="dxa"/>
          </w:tcPr>
          <w:p w14:paraId="599FBC96" w14:textId="77777777" w:rsidR="008E14CC" w:rsidRPr="00896761" w:rsidRDefault="008E14CC" w:rsidP="00622029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color w:val="000000"/>
                <w:sz w:val="20"/>
                <w:szCs w:val="20"/>
              </w:rPr>
              <w:t xml:space="preserve">Anton, S.G., Agheorghiesei, D.-T., Maha, L.-G., Onofrei, M., </w:t>
            </w:r>
            <w:r w:rsidRPr="00896761">
              <w:rPr>
                <w:i/>
                <w:color w:val="000000"/>
                <w:sz w:val="20"/>
                <w:szCs w:val="20"/>
              </w:rPr>
              <w:t>Antreprenoriat. Înfiinţarea, finanţarea şi managementul noilor afaceri</w:t>
            </w:r>
            <w:r w:rsidRPr="00896761">
              <w:rPr>
                <w:color w:val="000000"/>
                <w:sz w:val="20"/>
                <w:szCs w:val="20"/>
              </w:rPr>
              <w:t>, Editura Universităţii “Alexandru Ioan Cuza”, Iaşi, 2018;</w:t>
            </w:r>
          </w:p>
          <w:p w14:paraId="6012B443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Beaumont, P., 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>Financial Engineering Principles: A Unified Theory for Financial Product Analysis and Valuation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Wiley, New York, 2003;</w:t>
            </w:r>
          </w:p>
          <w:p w14:paraId="489A4C26" w14:textId="77777777" w:rsidR="008E14CC" w:rsidRPr="00896761" w:rsidRDefault="008E14CC" w:rsidP="00622029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Beetsma, M. W. R., J., Debrun, X., Fang, X., Kim, Y., Lledo, D. V., Mbaye, S., &amp; Zhang, X.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Independent fiscal councils: recent trends and performance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. IMF Working Paper, 18/68, 2018;</w:t>
            </w:r>
          </w:p>
          <w:p w14:paraId="62683787" w14:textId="77777777" w:rsidR="008E14CC" w:rsidRPr="00896761" w:rsidRDefault="008E14CC" w:rsidP="008E14CC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>Berg, F., Kölbel, J.F., Rigobon, R., 2022. Aggregate Confusion: The Divergence of ESG Ratings. Review of Finance 26, 1315–1344.</w:t>
            </w:r>
          </w:p>
          <w:p w14:paraId="53271B32" w14:textId="77777777" w:rsidR="008E14CC" w:rsidRPr="00896761" w:rsidRDefault="008E14CC" w:rsidP="00622029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Berger, A, Molyneux, Ph. and Wilson J. O. S.,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The Oxford Handbook of Banking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Oxford University Press, 2012, 2019;</w:t>
            </w:r>
          </w:p>
          <w:p w14:paraId="1E4B2F3F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>Beukes, A.,</w:t>
            </w:r>
            <w:r w:rsidRPr="00896761">
              <w:rPr>
                <w:rFonts w:ascii="Times" w:hAnsi="Times" w:cs="Arial"/>
                <w:b/>
                <w:bCs/>
                <w:sz w:val="20"/>
                <w:szCs w:val="20"/>
              </w:rPr>
              <w:t xml:space="preserve">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Financial markets are not as rational as theory suggests</w:t>
            </w:r>
            <w:r w:rsidRPr="00896761">
              <w:rPr>
                <w:rFonts w:ascii="Times" w:hAnsi="Times" w:cs="Arial"/>
                <w:b/>
                <w:bCs/>
                <w:sz w:val="20"/>
                <w:szCs w:val="20"/>
              </w:rPr>
              <w:t xml:space="preserve">, 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Proceedings of ASBBS, ASBBS Annual Conference: Las Vegas, Volume 17 Number 1, 2010, pp.376-388;</w:t>
            </w:r>
          </w:p>
          <w:p w14:paraId="456054CF" w14:textId="77777777" w:rsidR="008E14CC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>Bowen, H. R., 1953. Social Responsibilities of the Businessman. Harper &amp; Row.</w:t>
            </w:r>
          </w:p>
          <w:p w14:paraId="1BA269A2" w14:textId="77777777" w:rsidR="008E14CC" w:rsidRPr="00896761" w:rsidRDefault="008E14CC" w:rsidP="007F7CD5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lastRenderedPageBreak/>
              <w:t xml:space="preserve">Cocriş, V., Andrieş, A. M.,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Managementul riscurilor şi al performanţelor bancare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Wolters Kluwer, Bucureşti, 2010;</w:t>
            </w:r>
          </w:p>
          <w:p w14:paraId="40BB3CED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Daniels J.P. ; Van Hoose D.D., 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>International Monetary and Financial Economics,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 Thomson South-Western;</w:t>
            </w:r>
          </w:p>
          <w:p w14:paraId="79328CA3" w14:textId="77777777" w:rsidR="008E14CC" w:rsidRPr="002A263F" w:rsidRDefault="008E14CC" w:rsidP="002A263F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2A263F">
              <w:rPr>
                <w:rFonts w:ascii="Times" w:hAnsi="Times" w:cs="Arial"/>
                <w:bCs/>
                <w:sz w:val="20"/>
                <w:szCs w:val="20"/>
              </w:rPr>
              <w:t xml:space="preserve">De Grauwe, </w:t>
            </w:r>
            <w:r>
              <w:rPr>
                <w:rFonts w:ascii="Times" w:hAnsi="Times" w:cs="Arial"/>
                <w:bCs/>
                <w:sz w:val="20"/>
                <w:szCs w:val="20"/>
              </w:rPr>
              <w:t>P.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 xml:space="preserve">, </w:t>
            </w:r>
            <w:r w:rsidRPr="002A263F">
              <w:rPr>
                <w:rFonts w:ascii="Times" w:hAnsi="Times" w:cs="Arial"/>
                <w:bCs/>
                <w:i/>
                <w:sz w:val="20"/>
                <w:szCs w:val="20"/>
              </w:rPr>
              <w:t>The Economics of Monetary Union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>, Oxford University Press, Oxford, 12</w:t>
            </w:r>
            <w:r w:rsidRPr="002A263F">
              <w:rPr>
                <w:rFonts w:ascii="Times" w:hAnsi="Times" w:cs="Arial"/>
                <w:bCs/>
                <w:sz w:val="20"/>
                <w:szCs w:val="20"/>
                <w:vertAlign w:val="superscript"/>
              </w:rPr>
              <w:t>th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 xml:space="preserve"> edition, 2020;</w:t>
            </w:r>
          </w:p>
          <w:p w14:paraId="234A3856" w14:textId="77777777" w:rsidR="008E14CC" w:rsidRDefault="008E14CC" w:rsidP="002A263F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2A263F">
              <w:rPr>
                <w:rFonts w:ascii="Times" w:hAnsi="Times" w:cs="Arial"/>
                <w:bCs/>
                <w:sz w:val="20"/>
                <w:szCs w:val="20"/>
              </w:rPr>
              <w:t>De Haan, J</w:t>
            </w:r>
            <w:r>
              <w:rPr>
                <w:rFonts w:ascii="Times" w:hAnsi="Times" w:cs="Arial"/>
                <w:bCs/>
                <w:sz w:val="20"/>
                <w:szCs w:val="20"/>
              </w:rPr>
              <w:t>.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>, Schoenmaker, D</w:t>
            </w:r>
            <w:r>
              <w:rPr>
                <w:rFonts w:ascii="Times" w:hAnsi="Times" w:cs="Arial"/>
                <w:bCs/>
                <w:sz w:val="20"/>
                <w:szCs w:val="20"/>
              </w:rPr>
              <w:t>.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>, and Wierts, P.</w:t>
            </w:r>
            <w:r>
              <w:rPr>
                <w:rFonts w:ascii="Times" w:hAnsi="Times" w:cs="Arial"/>
                <w:bCs/>
                <w:sz w:val="20"/>
                <w:szCs w:val="20"/>
              </w:rPr>
              <w:t>,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 xml:space="preserve"> </w:t>
            </w:r>
            <w:r w:rsidRPr="002A263F">
              <w:rPr>
                <w:rFonts w:ascii="Times" w:hAnsi="Times" w:cs="Arial"/>
                <w:bCs/>
                <w:i/>
                <w:sz w:val="20"/>
                <w:szCs w:val="20"/>
              </w:rPr>
              <w:t>Financial Markets and Institutions: A European Perspective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>, Cambridge University Press, Cambridge, 4</w:t>
            </w:r>
            <w:r w:rsidRPr="002A263F">
              <w:rPr>
                <w:rFonts w:ascii="Times" w:hAnsi="Times" w:cs="Arial"/>
                <w:bCs/>
                <w:sz w:val="20"/>
                <w:szCs w:val="20"/>
                <w:vertAlign w:val="superscript"/>
              </w:rPr>
              <w:t>th</w:t>
            </w:r>
            <w:r w:rsidRPr="002A263F">
              <w:rPr>
                <w:rFonts w:ascii="Times" w:hAnsi="Times" w:cs="Arial"/>
                <w:bCs/>
                <w:sz w:val="20"/>
                <w:szCs w:val="20"/>
              </w:rPr>
              <w:t xml:space="preserve"> edition, 2020;</w:t>
            </w:r>
          </w:p>
          <w:p w14:paraId="715FFD1A" w14:textId="77777777" w:rsidR="008E14CC" w:rsidRPr="008E14CC" w:rsidRDefault="008E14CC" w:rsidP="008E14CC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 xml:space="preserve">Freeman, R.E., 2010. Strategic Management: A Stakeholder Approach. Cambridge University Press, Cambridge. </w:t>
            </w:r>
          </w:p>
          <w:p w14:paraId="0A7DC1B0" w14:textId="77777777" w:rsidR="008E14CC" w:rsidRPr="008E14CC" w:rsidRDefault="008E14CC" w:rsidP="008E14CC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>Friedman, M., 1962. Capitalism and Freedom. University of Chicago Press.</w:t>
            </w:r>
          </w:p>
          <w:p w14:paraId="157C3E81" w14:textId="77777777" w:rsidR="008E14CC" w:rsidRDefault="008E14CC" w:rsidP="008E14CC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>Friedman, M., 1970. The Social Responsibility of Business Is to Increase Its Profits. New York Times Magazine, September 13, Section SM, Page 17.</w:t>
            </w:r>
          </w:p>
          <w:p w14:paraId="5A768BDD" w14:textId="77777777" w:rsidR="008E14CC" w:rsidRPr="00896761" w:rsidRDefault="008E14CC" w:rsidP="002A263F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>Georgescu. G, Căpraru B, Fiscal councils in European Union. A short retrospective review and current challenges  in terms of functionality and effectiveness, Romanian Fiscal Council Working Papers no 2, 2020;</w:t>
            </w:r>
          </w:p>
          <w:p w14:paraId="10E0958C" w14:textId="77777777" w:rsidR="008E14CC" w:rsidRPr="00896761" w:rsidRDefault="008E14CC" w:rsidP="00622029">
            <w:pPr>
              <w:rPr>
                <w:iCs/>
                <w:sz w:val="20"/>
                <w:szCs w:val="20"/>
              </w:rPr>
            </w:pPr>
            <w:r w:rsidRPr="00896761">
              <w:rPr>
                <w:sz w:val="20"/>
                <w:szCs w:val="20"/>
              </w:rPr>
              <w:t>Gitman, L., Zutter, C.,</w:t>
            </w:r>
            <w:r w:rsidRPr="00896761">
              <w:rPr>
                <w:b/>
                <w:sz w:val="20"/>
                <w:szCs w:val="20"/>
              </w:rPr>
              <w:t xml:space="preserve"> </w:t>
            </w:r>
            <w:r w:rsidRPr="00896761">
              <w:rPr>
                <w:i/>
                <w:sz w:val="20"/>
                <w:szCs w:val="20"/>
              </w:rPr>
              <w:t xml:space="preserve">Principles of Managerial Finance, </w:t>
            </w:r>
            <w:r w:rsidRPr="00896761">
              <w:rPr>
                <w:sz w:val="20"/>
                <w:szCs w:val="20"/>
              </w:rPr>
              <w:t>13th edition,</w:t>
            </w:r>
            <w:r w:rsidRPr="00896761">
              <w:rPr>
                <w:b/>
                <w:i/>
                <w:sz w:val="20"/>
                <w:szCs w:val="20"/>
              </w:rPr>
              <w:t xml:space="preserve"> </w:t>
            </w:r>
            <w:r w:rsidRPr="00896761">
              <w:rPr>
                <w:iCs/>
                <w:sz w:val="20"/>
                <w:szCs w:val="20"/>
              </w:rPr>
              <w:t>Prentice Hall,</w:t>
            </w:r>
            <w:r w:rsidRPr="00896761">
              <w:rPr>
                <w:b/>
                <w:sz w:val="20"/>
                <w:szCs w:val="20"/>
              </w:rPr>
              <w:t xml:space="preserve"> </w:t>
            </w:r>
            <w:r w:rsidRPr="00896761">
              <w:rPr>
                <w:iCs/>
                <w:sz w:val="20"/>
                <w:szCs w:val="20"/>
              </w:rPr>
              <w:t>2012;</w:t>
            </w:r>
          </w:p>
          <w:p w14:paraId="12D5E3CB" w14:textId="77777777" w:rsidR="008E14CC" w:rsidRPr="00896761" w:rsidRDefault="008E14CC" w:rsidP="00E10EB5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>Greenbaum, S., Thakor, A.,“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 xml:space="preserve">Contemporary Financial Intermediation”, 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Second Edition, Elsevier, Burlington, 2007;</w:t>
            </w:r>
          </w:p>
          <w:p w14:paraId="3290A49C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Kadir Can Yalçın,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Market Rationality: Efficient Market Hypothesis versus Market Anomalies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European Journal of Economic and Political Studies, 3/2010, pp. 23-38;</w:t>
            </w:r>
          </w:p>
          <w:p w14:paraId="7207C18C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Krugman P.R.; Obstfeld M., 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>Economie Internationale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Editions De Boek Universite 2001;</w:t>
            </w:r>
          </w:p>
          <w:p w14:paraId="2E98FFA3" w14:textId="77777777" w:rsidR="008E14CC" w:rsidRPr="00896761" w:rsidRDefault="008E14CC" w:rsidP="00622029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sz w:val="20"/>
                <w:szCs w:val="20"/>
              </w:rPr>
              <w:t>Leach, C., Melicher, R.,</w:t>
            </w:r>
            <w:r w:rsidRPr="00896761">
              <w:rPr>
                <w:b/>
                <w:sz w:val="20"/>
                <w:szCs w:val="20"/>
              </w:rPr>
              <w:t xml:space="preserve"> </w:t>
            </w:r>
            <w:r w:rsidRPr="00896761">
              <w:rPr>
                <w:i/>
                <w:sz w:val="20"/>
                <w:szCs w:val="20"/>
              </w:rPr>
              <w:t>Entrepreneurial Finance,</w:t>
            </w:r>
            <w:r w:rsidRPr="00896761">
              <w:rPr>
                <w:b/>
                <w:i/>
                <w:sz w:val="20"/>
                <w:szCs w:val="20"/>
              </w:rPr>
              <w:t xml:space="preserve"> </w:t>
            </w:r>
            <w:r w:rsidRPr="00896761">
              <w:rPr>
                <w:iCs/>
                <w:sz w:val="20"/>
                <w:szCs w:val="20"/>
              </w:rPr>
              <w:t>4th edition, Cengage Learning, 2012;</w:t>
            </w:r>
          </w:p>
          <w:p w14:paraId="3E93D9B8" w14:textId="77777777" w:rsidR="008E14CC" w:rsidRPr="00896761" w:rsidRDefault="008E14CC" w:rsidP="00896761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896761">
              <w:rPr>
                <w:rFonts w:ascii="Times" w:hAnsi="Times" w:cs="Times"/>
                <w:bCs/>
                <w:sz w:val="20"/>
                <w:szCs w:val="20"/>
              </w:rPr>
              <w:t xml:space="preserve">Mishkin, F., </w:t>
            </w:r>
            <w:r w:rsidRPr="00896761">
              <w:rPr>
                <w:rFonts w:ascii="Times" w:hAnsi="Times" w:cs="Times"/>
                <w:bCs/>
                <w:i/>
                <w:sz w:val="20"/>
                <w:szCs w:val="20"/>
              </w:rPr>
              <w:t>The Economics of Money, Banking and Financial Markets</w:t>
            </w:r>
            <w:r w:rsidRPr="00896761">
              <w:rPr>
                <w:rFonts w:ascii="Times" w:hAnsi="Times" w:cs="Times"/>
                <w:bCs/>
                <w:sz w:val="20"/>
                <w:szCs w:val="20"/>
              </w:rPr>
              <w:t>, Pearson, 11</w:t>
            </w:r>
            <w:r w:rsidRPr="00896761">
              <w:rPr>
                <w:rFonts w:ascii="Times" w:hAnsi="Times" w:cs="Times"/>
                <w:bCs/>
                <w:sz w:val="20"/>
                <w:szCs w:val="20"/>
                <w:vertAlign w:val="superscript"/>
              </w:rPr>
              <w:t>th</w:t>
            </w:r>
            <w:r w:rsidRPr="00896761">
              <w:rPr>
                <w:rFonts w:ascii="Times" w:hAnsi="Times" w:cs="Times"/>
                <w:bCs/>
                <w:sz w:val="20"/>
                <w:szCs w:val="20"/>
              </w:rPr>
              <w:t xml:space="preserve"> edition, 2017;</w:t>
            </w:r>
          </w:p>
          <w:p w14:paraId="491448F3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Onofrei M.,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Guvernanţa financiară corporativă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Editura Wolters Kluwer, Bucureşti, 2010;</w:t>
            </w:r>
          </w:p>
          <w:p w14:paraId="2A3F7BB4" w14:textId="77777777" w:rsidR="008E14CC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E14CC">
              <w:rPr>
                <w:rFonts w:ascii="Times" w:hAnsi="Times" w:cs="Arial"/>
                <w:bCs/>
                <w:sz w:val="20"/>
                <w:szCs w:val="20"/>
              </w:rPr>
              <w:t xml:space="preserve">Roncalli, T., 2025. Handbook of Sustainable Finance. </w:t>
            </w:r>
            <w:r>
              <w:rPr>
                <w:rFonts w:ascii="Times" w:hAnsi="Times" w:cs="Arial"/>
                <w:bCs/>
                <w:sz w:val="20"/>
                <w:szCs w:val="20"/>
              </w:rPr>
              <w:t>Disponibil la</w:t>
            </w:r>
            <w:r w:rsidRPr="008E14CC">
              <w:rPr>
                <w:rFonts w:ascii="Times" w:hAnsi="Times" w:cs="Arial"/>
                <w:bCs/>
                <w:sz w:val="20"/>
                <w:szCs w:val="20"/>
              </w:rPr>
              <w:t xml:space="preserve">: </w:t>
            </w:r>
            <w:hyperlink r:id="rId7" w:history="1">
              <w:r w:rsidRPr="003962CF">
                <w:rPr>
                  <w:rStyle w:val="Hyperlink"/>
                  <w:rFonts w:ascii="Times" w:hAnsi="Times" w:cs="Arial"/>
                  <w:bCs/>
                  <w:sz w:val="20"/>
                  <w:szCs w:val="20"/>
                </w:rPr>
                <w:t>http://www.thierry-roncalli.com/SustainableFinance.html</w:t>
              </w:r>
            </w:hyperlink>
          </w:p>
          <w:p w14:paraId="607971AB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>Saunders, A., Cornett, M.M. (2008), ”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>Financial Institutions Management - A Risk Management Approach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”, Sixth Edition, The McGraw-Hill;</w:t>
            </w:r>
          </w:p>
          <w:p w14:paraId="2E0A9FB0" w14:textId="77777777" w:rsidR="008E14CC" w:rsidRPr="00896761" w:rsidRDefault="008E14CC" w:rsidP="002874E4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Schinckus Christophe, </w:t>
            </w:r>
            <w:r w:rsidRPr="00896761">
              <w:rPr>
                <w:rFonts w:ascii="Times" w:hAnsi="Times" w:cs="Arial"/>
                <w:bCs/>
                <w:i/>
                <w:sz w:val="20"/>
                <w:szCs w:val="20"/>
              </w:rPr>
              <w:t>The Importance of Communicative Rationality on Financial Markets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Journal of Economic and Social Research 12 (2) 2010, 119-144;</w:t>
            </w:r>
          </w:p>
          <w:p w14:paraId="6726B2C0" w14:textId="72FF17AB" w:rsidR="002874E4" w:rsidRPr="00896761" w:rsidRDefault="008E14CC" w:rsidP="00FE2E46">
            <w:pPr>
              <w:jc w:val="both"/>
              <w:rPr>
                <w:rFonts w:ascii="Times" w:hAnsi="Times" w:cs="Arial"/>
                <w:bCs/>
                <w:sz w:val="20"/>
                <w:szCs w:val="20"/>
              </w:rPr>
            </w:pPr>
            <w:r w:rsidRPr="00896761">
              <w:rPr>
                <w:rFonts w:ascii="Times" w:hAnsi="Times" w:cs="Arial"/>
                <w:bCs/>
                <w:sz w:val="20"/>
                <w:szCs w:val="20"/>
              </w:rPr>
              <w:t xml:space="preserve">Stoica O., </w:t>
            </w:r>
            <w:r w:rsidRPr="00896761">
              <w:rPr>
                <w:rFonts w:ascii="Times" w:hAnsi="Times" w:cs="Arial"/>
                <w:bCs/>
                <w:i/>
                <w:iCs/>
                <w:sz w:val="20"/>
                <w:szCs w:val="20"/>
              </w:rPr>
              <w:t>Mecanisme şi instituţii ale pieţei de capital. Pieţe de capital emergente</w:t>
            </w:r>
            <w:r w:rsidRPr="00896761">
              <w:rPr>
                <w:rFonts w:ascii="Times" w:hAnsi="Times" w:cs="Arial"/>
                <w:bCs/>
                <w:sz w:val="20"/>
                <w:szCs w:val="20"/>
              </w:rPr>
              <w:t>, Editura Economică, Bucureşti, 2002</w:t>
            </w:r>
            <w:r w:rsidR="00FE2E46">
              <w:rPr>
                <w:rFonts w:ascii="Times" w:hAnsi="Times" w:cs="Arial"/>
                <w:bCs/>
                <w:sz w:val="20"/>
                <w:szCs w:val="20"/>
              </w:rPr>
              <w:t>.</w:t>
            </w:r>
          </w:p>
        </w:tc>
      </w:tr>
    </w:tbl>
    <w:p w14:paraId="055A0401" w14:textId="77777777" w:rsidR="002874E4" w:rsidRPr="00896761" w:rsidRDefault="002874E4">
      <w:pPr>
        <w:jc w:val="both"/>
        <w:rPr>
          <w:rFonts w:ascii="Times" w:hAnsi="Times"/>
          <w:sz w:val="12"/>
        </w:rPr>
      </w:pPr>
    </w:p>
    <w:tbl>
      <w:tblPr>
        <w:tblW w:w="9900" w:type="dxa"/>
        <w:tblInd w:w="-72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440"/>
        <w:gridCol w:w="6720"/>
      </w:tblGrid>
      <w:tr w:rsidR="002874E4" w:rsidRPr="00896761" w14:paraId="625EFF0E" w14:textId="77777777">
        <w:trPr>
          <w:cantSplit/>
          <w:trHeight w:val="302"/>
        </w:trPr>
        <w:tc>
          <w:tcPr>
            <w:tcW w:w="1740" w:type="dxa"/>
            <w:vMerge w:val="restart"/>
          </w:tcPr>
          <w:p w14:paraId="695844EC" w14:textId="77777777" w:rsidR="002874E4" w:rsidRPr="00896761" w:rsidRDefault="002874E4">
            <w:pPr>
              <w:rPr>
                <w:rFonts w:ascii="Times" w:hAnsi="Times"/>
                <w:sz w:val="20"/>
              </w:rPr>
            </w:pPr>
            <w:r w:rsidRPr="00896761">
              <w:rPr>
                <w:rFonts w:ascii="Times" w:hAnsi="Times"/>
                <w:smallCaps/>
                <w:sz w:val="20"/>
              </w:rPr>
              <w:t>Evaluare</w:t>
            </w:r>
          </w:p>
        </w:tc>
        <w:tc>
          <w:tcPr>
            <w:tcW w:w="1440" w:type="dxa"/>
            <w:vAlign w:val="center"/>
          </w:tcPr>
          <w:p w14:paraId="7A58F22A" w14:textId="77777777" w:rsidR="002874E4" w:rsidRPr="00896761" w:rsidRDefault="002874E4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condiţii</w:t>
            </w:r>
          </w:p>
        </w:tc>
        <w:tc>
          <w:tcPr>
            <w:tcW w:w="6720" w:type="dxa"/>
            <w:vAlign w:val="center"/>
          </w:tcPr>
          <w:p w14:paraId="414F2CB2" w14:textId="77777777" w:rsidR="002874E4" w:rsidRPr="00896761" w:rsidRDefault="002874E4" w:rsidP="002874E4">
            <w:pPr>
              <w:rPr>
                <w:rFonts w:ascii="Times" w:hAnsi="Times"/>
                <w:sz w:val="18"/>
                <w:szCs w:val="18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>- elaborarea şi susţinerea publică a unui proiect</w:t>
            </w:r>
          </w:p>
          <w:p w14:paraId="157270D3" w14:textId="77777777" w:rsidR="002874E4" w:rsidRPr="00896761" w:rsidRDefault="002874E4" w:rsidP="002874E4">
            <w:p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>- participarea la activităţile pe parcurs</w:t>
            </w:r>
          </w:p>
        </w:tc>
      </w:tr>
      <w:tr w:rsidR="002874E4" w:rsidRPr="00896761" w14:paraId="6FEE7264" w14:textId="77777777">
        <w:trPr>
          <w:cantSplit/>
          <w:trHeight w:val="275"/>
        </w:trPr>
        <w:tc>
          <w:tcPr>
            <w:tcW w:w="1740" w:type="dxa"/>
            <w:vMerge/>
          </w:tcPr>
          <w:p w14:paraId="716BA2F6" w14:textId="77777777" w:rsidR="002874E4" w:rsidRPr="00896761" w:rsidRDefault="002874E4">
            <w:pPr>
              <w:jc w:val="both"/>
              <w:rPr>
                <w:rFonts w:ascii="Times" w:hAnsi="Time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957A044" w14:textId="77777777" w:rsidR="002874E4" w:rsidRPr="00896761" w:rsidRDefault="002874E4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criterii</w:t>
            </w:r>
          </w:p>
        </w:tc>
        <w:tc>
          <w:tcPr>
            <w:tcW w:w="6720" w:type="dxa"/>
            <w:vAlign w:val="center"/>
          </w:tcPr>
          <w:p w14:paraId="41AC35EE" w14:textId="77777777" w:rsidR="002874E4" w:rsidRPr="00896761" w:rsidRDefault="002874E4" w:rsidP="002874E4">
            <w:pPr>
              <w:rPr>
                <w:rFonts w:ascii="Times" w:hAnsi="Times"/>
                <w:sz w:val="18"/>
                <w:szCs w:val="18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>- condiţiile de fond şi de formă ale proiectului</w:t>
            </w:r>
          </w:p>
          <w:p w14:paraId="069DD484" w14:textId="77777777" w:rsidR="002874E4" w:rsidRPr="00896761" w:rsidRDefault="002874E4" w:rsidP="002874E4">
            <w:p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>- calitatea lucrării scrise</w:t>
            </w:r>
          </w:p>
        </w:tc>
      </w:tr>
      <w:tr w:rsidR="002874E4" w:rsidRPr="00896761" w14:paraId="6ABD374C" w14:textId="77777777">
        <w:trPr>
          <w:cantSplit/>
          <w:trHeight w:val="265"/>
        </w:trPr>
        <w:tc>
          <w:tcPr>
            <w:tcW w:w="1740" w:type="dxa"/>
            <w:vMerge/>
          </w:tcPr>
          <w:p w14:paraId="29A74723" w14:textId="77777777" w:rsidR="002874E4" w:rsidRPr="00896761" w:rsidRDefault="002874E4">
            <w:pPr>
              <w:jc w:val="both"/>
              <w:rPr>
                <w:rFonts w:ascii="Times" w:hAnsi="Time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160D745" w14:textId="77777777" w:rsidR="002874E4" w:rsidRPr="00896761" w:rsidRDefault="002874E4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forme</w:t>
            </w:r>
          </w:p>
        </w:tc>
        <w:tc>
          <w:tcPr>
            <w:tcW w:w="6720" w:type="dxa"/>
            <w:vAlign w:val="center"/>
          </w:tcPr>
          <w:p w14:paraId="4B2F2578" w14:textId="77777777" w:rsidR="002874E4" w:rsidRPr="00896761" w:rsidRDefault="002874E4" w:rsidP="002874E4">
            <w:pPr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18"/>
                <w:szCs w:val="18"/>
              </w:rPr>
              <w:t xml:space="preserve">elaborarea şi susţinerea publică a unui proiect, răspuns la </w:t>
            </w:r>
            <w:r w:rsidR="00434D68" w:rsidRPr="00896761">
              <w:rPr>
                <w:rFonts w:ascii="Times" w:hAnsi="Times"/>
                <w:sz w:val="18"/>
                <w:szCs w:val="18"/>
              </w:rPr>
              <w:t>întrebări</w:t>
            </w:r>
            <w:r w:rsidRPr="00896761">
              <w:rPr>
                <w:rFonts w:ascii="Times" w:hAnsi="Times"/>
                <w:sz w:val="18"/>
                <w:szCs w:val="18"/>
              </w:rPr>
              <w:t xml:space="preserve"> deschise, cu accent pe elemente de aport personal ale doctorandului </w:t>
            </w:r>
            <w:r w:rsidR="00434D68" w:rsidRPr="00896761">
              <w:rPr>
                <w:rFonts w:ascii="Times" w:hAnsi="Times"/>
                <w:sz w:val="18"/>
                <w:szCs w:val="18"/>
              </w:rPr>
              <w:t>față</w:t>
            </w:r>
            <w:r w:rsidRPr="00896761">
              <w:rPr>
                <w:rFonts w:ascii="Times" w:hAnsi="Times"/>
                <w:sz w:val="18"/>
                <w:szCs w:val="18"/>
              </w:rPr>
              <w:t xml:space="preserve"> de tematica de examen</w:t>
            </w:r>
          </w:p>
        </w:tc>
      </w:tr>
      <w:tr w:rsidR="002874E4" w:rsidRPr="00896761" w14:paraId="1EAA67A8" w14:textId="77777777">
        <w:trPr>
          <w:cantSplit/>
          <w:trHeight w:val="327"/>
        </w:trPr>
        <w:tc>
          <w:tcPr>
            <w:tcW w:w="1740" w:type="dxa"/>
            <w:vMerge/>
          </w:tcPr>
          <w:p w14:paraId="77FF3C1E" w14:textId="77777777" w:rsidR="002874E4" w:rsidRPr="00896761" w:rsidRDefault="002874E4">
            <w:pPr>
              <w:jc w:val="both"/>
              <w:rPr>
                <w:rFonts w:ascii="Times" w:hAnsi="Times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5B23F1D" w14:textId="77777777" w:rsidR="002874E4" w:rsidRPr="00896761" w:rsidRDefault="002874E4">
            <w:pPr>
              <w:jc w:val="right"/>
              <w:rPr>
                <w:rFonts w:ascii="Times" w:hAnsi="Times"/>
                <w:sz w:val="20"/>
                <w:szCs w:val="20"/>
              </w:rPr>
            </w:pPr>
            <w:r w:rsidRPr="00896761">
              <w:rPr>
                <w:rFonts w:ascii="Times" w:hAnsi="Times"/>
                <w:sz w:val="20"/>
                <w:szCs w:val="20"/>
              </w:rPr>
              <w:t>formula notei finale</w:t>
            </w:r>
          </w:p>
        </w:tc>
        <w:tc>
          <w:tcPr>
            <w:tcW w:w="6720" w:type="dxa"/>
            <w:vAlign w:val="center"/>
          </w:tcPr>
          <w:p w14:paraId="722C0AE2" w14:textId="5BC9F98C" w:rsidR="002874E4" w:rsidRPr="00896761" w:rsidRDefault="008E14CC" w:rsidP="002874E4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18"/>
                <w:szCs w:val="18"/>
              </w:rPr>
              <w:t xml:space="preserve">0,8 </w:t>
            </w:r>
            <w:r>
              <w:rPr>
                <w:rFonts w:ascii="Times" w:hAnsi="Times" w:cs="Times"/>
                <w:sz w:val="18"/>
                <w:szCs w:val="18"/>
              </w:rPr>
              <w:t>×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  <w:r w:rsidR="002874E4" w:rsidRPr="00896761">
              <w:rPr>
                <w:rFonts w:ascii="Times" w:hAnsi="Times"/>
                <w:sz w:val="18"/>
                <w:szCs w:val="18"/>
              </w:rPr>
              <w:t xml:space="preserve">Elaborarea </w:t>
            </w:r>
            <w:r w:rsidR="00164BBF" w:rsidRPr="00896761">
              <w:rPr>
                <w:rFonts w:ascii="Times" w:hAnsi="Times"/>
                <w:sz w:val="18"/>
                <w:szCs w:val="18"/>
              </w:rPr>
              <w:t>proiectului</w:t>
            </w:r>
            <w:r w:rsidR="002874E4" w:rsidRPr="00896761">
              <w:rPr>
                <w:rFonts w:ascii="Times" w:hAnsi="Times"/>
                <w:sz w:val="18"/>
                <w:szCs w:val="18"/>
              </w:rPr>
              <w:t xml:space="preserve"> + </w:t>
            </w:r>
            <w:r>
              <w:rPr>
                <w:rFonts w:ascii="Times" w:hAnsi="Times"/>
                <w:sz w:val="18"/>
                <w:szCs w:val="18"/>
              </w:rPr>
              <w:t xml:space="preserve">0,2 </w:t>
            </w:r>
            <w:r>
              <w:rPr>
                <w:rFonts w:ascii="Times" w:hAnsi="Times" w:cs="Times"/>
                <w:sz w:val="18"/>
                <w:szCs w:val="18"/>
              </w:rPr>
              <w:t xml:space="preserve">× </w:t>
            </w:r>
            <w:r w:rsidR="002874E4" w:rsidRPr="00896761">
              <w:rPr>
                <w:rFonts w:ascii="Times" w:hAnsi="Times"/>
                <w:sz w:val="18"/>
                <w:szCs w:val="18"/>
              </w:rPr>
              <w:t>Susţinerea publică a proiectului</w:t>
            </w:r>
          </w:p>
        </w:tc>
      </w:tr>
    </w:tbl>
    <w:p w14:paraId="0A574CB6" w14:textId="77777777" w:rsidR="002874E4" w:rsidRPr="00896761" w:rsidRDefault="002874E4">
      <w:pPr>
        <w:ind w:left="-240"/>
        <w:jc w:val="both"/>
        <w:rPr>
          <w:rFonts w:ascii="Times" w:hAnsi="Times"/>
        </w:rPr>
      </w:pPr>
    </w:p>
    <w:p w14:paraId="2B826E32" w14:textId="77777777" w:rsidR="00A0428E" w:rsidRPr="00A0428E" w:rsidRDefault="00A0428E" w:rsidP="00A0428E">
      <w:pPr>
        <w:spacing w:line="360" w:lineRule="auto"/>
        <w:rPr>
          <w:rFonts w:ascii="Times" w:hAnsi="Times" w:cs="Times"/>
          <w:smallCaps/>
          <w:sz w:val="20"/>
          <w:szCs w:val="20"/>
        </w:rPr>
      </w:pPr>
      <w:r w:rsidRPr="00A0428E">
        <w:rPr>
          <w:rFonts w:ascii="Times" w:hAnsi="Times" w:cs="Times"/>
          <w:smallCaps/>
          <w:sz w:val="20"/>
          <w:szCs w:val="20"/>
        </w:rPr>
        <w:t>PROF. DR. OVIDIU STOICA</w:t>
      </w:r>
    </w:p>
    <w:p w14:paraId="45CA4862" w14:textId="77777777" w:rsidR="00A0428E" w:rsidRPr="00A0428E" w:rsidRDefault="00A0428E" w:rsidP="00A0428E">
      <w:pPr>
        <w:spacing w:line="360" w:lineRule="auto"/>
        <w:rPr>
          <w:rFonts w:ascii="Times" w:hAnsi="Times" w:cs="Times"/>
          <w:smallCaps/>
          <w:sz w:val="20"/>
          <w:szCs w:val="20"/>
        </w:rPr>
      </w:pPr>
      <w:r w:rsidRPr="00A0428E">
        <w:rPr>
          <w:rFonts w:ascii="Times" w:hAnsi="Times" w:cs="Times"/>
          <w:smallCaps/>
          <w:sz w:val="20"/>
          <w:szCs w:val="20"/>
        </w:rPr>
        <w:t>PROF. DR. SEBASTIAN BOGDAN C</w:t>
      </w:r>
      <w:r>
        <w:rPr>
          <w:rFonts w:ascii="Times" w:hAnsi="Times" w:cs="Times"/>
          <w:smallCaps/>
          <w:sz w:val="20"/>
          <w:szCs w:val="20"/>
        </w:rPr>
        <w:t>Ă</w:t>
      </w:r>
      <w:r w:rsidRPr="00A0428E">
        <w:rPr>
          <w:rFonts w:ascii="Times" w:hAnsi="Times" w:cs="Times"/>
          <w:smallCaps/>
          <w:sz w:val="20"/>
          <w:szCs w:val="20"/>
        </w:rPr>
        <w:t>PRARU</w:t>
      </w:r>
    </w:p>
    <w:p w14:paraId="7C47B7BB" w14:textId="77777777" w:rsidR="00A0428E" w:rsidRPr="00A0428E" w:rsidRDefault="00A0428E" w:rsidP="00A0428E">
      <w:pPr>
        <w:spacing w:line="360" w:lineRule="auto"/>
        <w:rPr>
          <w:rFonts w:ascii="Times" w:hAnsi="Times" w:cs="Times"/>
          <w:smallCaps/>
          <w:sz w:val="20"/>
          <w:szCs w:val="20"/>
        </w:rPr>
      </w:pPr>
      <w:r w:rsidRPr="00A0428E">
        <w:rPr>
          <w:rFonts w:ascii="Times" w:hAnsi="Times" w:cs="Times"/>
          <w:smallCaps/>
          <w:sz w:val="20"/>
          <w:szCs w:val="20"/>
        </w:rPr>
        <w:t>PROF. DR. MARIUS ALIN ANDRIEŞ</w:t>
      </w:r>
    </w:p>
    <w:p w14:paraId="666082DB" w14:textId="77777777" w:rsidR="00A0428E" w:rsidRDefault="00A0428E" w:rsidP="00A0428E">
      <w:pPr>
        <w:spacing w:line="360" w:lineRule="auto"/>
        <w:rPr>
          <w:rFonts w:ascii="Times" w:hAnsi="Times" w:cs="Times"/>
          <w:smallCaps/>
          <w:sz w:val="20"/>
          <w:szCs w:val="20"/>
        </w:rPr>
      </w:pPr>
      <w:r w:rsidRPr="00A0428E">
        <w:rPr>
          <w:rFonts w:ascii="Times" w:hAnsi="Times" w:cs="Times"/>
          <w:smallCaps/>
          <w:sz w:val="20"/>
          <w:szCs w:val="20"/>
        </w:rPr>
        <w:t>PROF. DR. SORIN GABRIEL ANTON</w:t>
      </w:r>
    </w:p>
    <w:p w14:paraId="3562BFAC" w14:textId="1BC27F17" w:rsidR="008E14CC" w:rsidRPr="00A0428E" w:rsidRDefault="008E14CC" w:rsidP="00A0428E">
      <w:pPr>
        <w:spacing w:line="360" w:lineRule="auto"/>
        <w:rPr>
          <w:rFonts w:ascii="Times" w:hAnsi="Times" w:cs="Times"/>
          <w:smallCaps/>
          <w:sz w:val="20"/>
          <w:szCs w:val="20"/>
        </w:rPr>
      </w:pPr>
      <w:r>
        <w:rPr>
          <w:rFonts w:ascii="Times" w:hAnsi="Times" w:cs="Times"/>
          <w:smallCaps/>
          <w:sz w:val="20"/>
          <w:szCs w:val="20"/>
        </w:rPr>
        <w:t>LECT. DR. NICU SPRINCEAN</w:t>
      </w:r>
    </w:p>
    <w:sectPr w:rsidR="008E14CC" w:rsidRPr="00A0428E" w:rsidSect="00017444">
      <w:headerReference w:type="default" r:id="rId8"/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D2065" w14:textId="77777777" w:rsidR="000811D1" w:rsidRDefault="000811D1">
      <w:r>
        <w:separator/>
      </w:r>
    </w:p>
  </w:endnote>
  <w:endnote w:type="continuationSeparator" w:id="0">
    <w:p w14:paraId="4596F0DB" w14:textId="77777777" w:rsidR="000811D1" w:rsidRDefault="0008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1F805" w14:textId="77777777" w:rsidR="000811D1" w:rsidRDefault="000811D1">
      <w:r>
        <w:separator/>
      </w:r>
    </w:p>
  </w:footnote>
  <w:footnote w:type="continuationSeparator" w:id="0">
    <w:p w14:paraId="4A494256" w14:textId="77777777" w:rsidR="000811D1" w:rsidRDefault="0008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A6B8" w14:textId="77777777" w:rsidR="002874E4" w:rsidRDefault="00B93A95">
    <w:pPr>
      <w:pStyle w:val="Header"/>
      <w:rPr>
        <w:rFonts w:ascii="Calibri" w:hAnsi="Calibri" w:cs="Bold"/>
        <w:b/>
        <w:noProof/>
        <w:color w:val="808080"/>
        <w:sz w:val="36"/>
        <w:szCs w:val="28"/>
      </w:rPr>
    </w:pPr>
    <w:r w:rsidRPr="00A75E77">
      <w:rPr>
        <w:rFonts w:ascii="Calibri" w:hAnsi="Calibri" w:cs="Bold"/>
        <w:b/>
        <w:noProof/>
        <w:color w:val="808080"/>
        <w:sz w:val="36"/>
        <w:szCs w:val="28"/>
        <w:lang w:val="en-US" w:eastAsia="en-US"/>
      </w:rPr>
      <w:drawing>
        <wp:inline distT="0" distB="0" distL="0" distR="0" wp14:anchorId="237AF89D" wp14:editId="3FA071FB">
          <wp:extent cx="630555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9BA89" w14:textId="77777777" w:rsidR="002874E4" w:rsidRDefault="00287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2A"/>
    <w:multiLevelType w:val="hybridMultilevel"/>
    <w:tmpl w:val="9DA8C4B6"/>
    <w:lvl w:ilvl="0" w:tplc="04090005">
      <w:start w:val="1"/>
      <w:numFmt w:val="bullet"/>
      <w:lvlText w:val="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04C77F0C"/>
    <w:multiLevelType w:val="hybridMultilevel"/>
    <w:tmpl w:val="7158A8E8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1CD3"/>
    <w:multiLevelType w:val="hybridMultilevel"/>
    <w:tmpl w:val="6442AFD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97912"/>
    <w:multiLevelType w:val="multilevel"/>
    <w:tmpl w:val="593EFD6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EB4D5A"/>
    <w:multiLevelType w:val="hybridMultilevel"/>
    <w:tmpl w:val="8230E52C"/>
    <w:lvl w:ilvl="0" w:tplc="04090005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D7C7A5A"/>
    <w:multiLevelType w:val="hybridMultilevel"/>
    <w:tmpl w:val="2DAA51E8"/>
    <w:lvl w:ilvl="0" w:tplc="F8240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4BFB"/>
    <w:multiLevelType w:val="hybridMultilevel"/>
    <w:tmpl w:val="F296019C"/>
    <w:lvl w:ilvl="0" w:tplc="40649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B382E"/>
    <w:multiLevelType w:val="hybridMultilevel"/>
    <w:tmpl w:val="0A327D0A"/>
    <w:lvl w:ilvl="0" w:tplc="04090005">
      <w:start w:val="1"/>
      <w:numFmt w:val="bullet"/>
      <w:lvlText w:val=""/>
      <w:lvlJc w:val="left"/>
      <w:pPr>
        <w:tabs>
          <w:tab w:val="num" w:pos="611"/>
        </w:tabs>
        <w:ind w:left="6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8" w15:restartNumberingAfterBreak="0">
    <w:nsid w:val="248B2F5F"/>
    <w:multiLevelType w:val="hybridMultilevel"/>
    <w:tmpl w:val="F296019C"/>
    <w:lvl w:ilvl="0" w:tplc="40649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374FF"/>
    <w:multiLevelType w:val="hybridMultilevel"/>
    <w:tmpl w:val="CB6ED230"/>
    <w:lvl w:ilvl="0" w:tplc="EDB02A44">
      <w:start w:val="1"/>
      <w:numFmt w:val="lowerRoman"/>
      <w:lvlText w:val="%1)"/>
      <w:lvlJc w:val="left"/>
      <w:pPr>
        <w:tabs>
          <w:tab w:val="num" w:pos="971"/>
        </w:tabs>
        <w:ind w:left="971" w:hanging="720"/>
      </w:pPr>
      <w:rPr>
        <w:rFonts w:hint="default"/>
      </w:rPr>
    </w:lvl>
    <w:lvl w:ilvl="1" w:tplc="09241EF6">
      <w:start w:val="1"/>
      <w:numFmt w:val="decimal"/>
      <w:lvlText w:val="%2)"/>
      <w:lvlJc w:val="left"/>
      <w:pPr>
        <w:tabs>
          <w:tab w:val="num" w:pos="1331"/>
        </w:tabs>
        <w:ind w:left="13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10" w15:restartNumberingAfterBreak="0">
    <w:nsid w:val="2F080C6A"/>
    <w:multiLevelType w:val="hybridMultilevel"/>
    <w:tmpl w:val="09BCD76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6543BE"/>
    <w:multiLevelType w:val="hybridMultilevel"/>
    <w:tmpl w:val="FD3696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676E09"/>
    <w:multiLevelType w:val="hybridMultilevel"/>
    <w:tmpl w:val="82465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820C7E"/>
    <w:multiLevelType w:val="hybridMultilevel"/>
    <w:tmpl w:val="F2C03ACC"/>
    <w:lvl w:ilvl="0" w:tplc="04090005">
      <w:start w:val="1"/>
      <w:numFmt w:val="bullet"/>
      <w:lvlText w:val=""/>
      <w:lvlJc w:val="left"/>
      <w:pPr>
        <w:tabs>
          <w:tab w:val="num" w:pos="611"/>
        </w:tabs>
        <w:ind w:left="6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1"/>
        </w:tabs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14" w15:restartNumberingAfterBreak="0">
    <w:nsid w:val="5C5628B7"/>
    <w:multiLevelType w:val="hybridMultilevel"/>
    <w:tmpl w:val="2834DAA2"/>
    <w:lvl w:ilvl="0" w:tplc="04090005">
      <w:start w:val="1"/>
      <w:numFmt w:val="bullet"/>
      <w:lvlText w:val=""/>
      <w:lvlJc w:val="left"/>
      <w:pPr>
        <w:tabs>
          <w:tab w:val="num" w:pos="611"/>
        </w:tabs>
        <w:ind w:left="611" w:hanging="360"/>
      </w:pPr>
      <w:rPr>
        <w:rFonts w:ascii="Wingdings" w:hAnsi="Wingdings" w:hint="default"/>
      </w:rPr>
    </w:lvl>
    <w:lvl w:ilvl="1" w:tplc="09241EF6">
      <w:start w:val="1"/>
      <w:numFmt w:val="decimal"/>
      <w:lvlText w:val="%2)"/>
      <w:lvlJc w:val="left"/>
      <w:pPr>
        <w:tabs>
          <w:tab w:val="num" w:pos="1331"/>
        </w:tabs>
        <w:ind w:left="13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1"/>
        </w:tabs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1"/>
        </w:tabs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1"/>
        </w:tabs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1"/>
        </w:tabs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1"/>
        </w:tabs>
        <w:ind w:left="6371" w:hanging="180"/>
      </w:pPr>
    </w:lvl>
  </w:abstractNum>
  <w:abstractNum w:abstractNumId="15" w15:restartNumberingAfterBreak="0">
    <w:nsid w:val="5E930780"/>
    <w:multiLevelType w:val="multilevel"/>
    <w:tmpl w:val="6442AFD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23AA2"/>
    <w:multiLevelType w:val="hybridMultilevel"/>
    <w:tmpl w:val="DF94C7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B6EE0"/>
    <w:multiLevelType w:val="hybridMultilevel"/>
    <w:tmpl w:val="6442AFDA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E085D"/>
    <w:multiLevelType w:val="hybridMultilevel"/>
    <w:tmpl w:val="FD7C09F2"/>
    <w:lvl w:ilvl="0" w:tplc="6130D9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C9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7FC04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E8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2F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9F1EE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49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A0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35705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B6D3E"/>
    <w:multiLevelType w:val="hybridMultilevel"/>
    <w:tmpl w:val="3F8C538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53C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10"/>
  </w:num>
  <w:num w:numId="5">
    <w:abstractNumId w:val="5"/>
  </w:num>
  <w:num w:numId="6">
    <w:abstractNumId w:val="16"/>
  </w:num>
  <w:num w:numId="7">
    <w:abstractNumId w:val="11"/>
  </w:num>
  <w:num w:numId="8">
    <w:abstractNumId w:val="13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3"/>
  </w:num>
  <w:num w:numId="14">
    <w:abstractNumId w:val="12"/>
  </w:num>
  <w:num w:numId="15">
    <w:abstractNumId w:val="1"/>
  </w:num>
  <w:num w:numId="16">
    <w:abstractNumId w:val="2"/>
  </w:num>
  <w:num w:numId="17">
    <w:abstractNumId w:val="15"/>
  </w:num>
  <w:num w:numId="18">
    <w:abstractNumId w:val="19"/>
  </w:num>
  <w:num w:numId="19">
    <w:abstractNumId w:val="17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3MDQ2NzY3NzAyMTZV0lEKTi0uzszPAykwrgUAGa6U7CwAAAA="/>
  </w:docVars>
  <w:rsids>
    <w:rsidRoot w:val="00717C02"/>
    <w:rsid w:val="00017444"/>
    <w:rsid w:val="00052EC1"/>
    <w:rsid w:val="000811D1"/>
    <w:rsid w:val="001138F8"/>
    <w:rsid w:val="00164BBF"/>
    <w:rsid w:val="002874E4"/>
    <w:rsid w:val="002A263F"/>
    <w:rsid w:val="002C2BBA"/>
    <w:rsid w:val="0033201A"/>
    <w:rsid w:val="00352048"/>
    <w:rsid w:val="003E7952"/>
    <w:rsid w:val="00400A17"/>
    <w:rsid w:val="00434D68"/>
    <w:rsid w:val="005A6C2A"/>
    <w:rsid w:val="005E7961"/>
    <w:rsid w:val="00622029"/>
    <w:rsid w:val="006E38C1"/>
    <w:rsid w:val="00717C02"/>
    <w:rsid w:val="007735EF"/>
    <w:rsid w:val="007F7CD5"/>
    <w:rsid w:val="00863F10"/>
    <w:rsid w:val="00896761"/>
    <w:rsid w:val="008C2105"/>
    <w:rsid w:val="008E14CC"/>
    <w:rsid w:val="00933BD1"/>
    <w:rsid w:val="009647D5"/>
    <w:rsid w:val="00977CAE"/>
    <w:rsid w:val="00A0428E"/>
    <w:rsid w:val="00B00834"/>
    <w:rsid w:val="00B93A95"/>
    <w:rsid w:val="00BA39D3"/>
    <w:rsid w:val="00E10EB5"/>
    <w:rsid w:val="00E428D0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2C6CF"/>
  <w15:docId w15:val="{1DEA6D6D-4AA0-4196-9AC1-3049F10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44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2C4312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en-US" w:eastAsia="en-US"/>
    </w:rPr>
  </w:style>
  <w:style w:type="paragraph" w:styleId="Header">
    <w:name w:val="header"/>
    <w:basedOn w:val="Normal"/>
    <w:rsid w:val="000174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17444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017444"/>
    <w:pPr>
      <w:spacing w:before="120" w:after="120"/>
    </w:pPr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62202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4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28D0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rsid w:val="008E14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1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thierry-roncalli.com/SustainableFinance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53BCD661BE4CA4C79F8B6BE49498" ma:contentTypeVersion="0" ma:contentTypeDescription="Create a new document." ma:contentTypeScope="" ma:versionID="7fe5d0199731cafa80305c69d53bf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0867F-1D63-4E48-82AE-57C3339DAA76}"/>
</file>

<file path=customXml/itemProps2.xml><?xml version="1.0" encoding="utf-8"?>
<ds:datastoreItem xmlns:ds="http://schemas.openxmlformats.org/officeDocument/2006/customXml" ds:itemID="{C30EE53C-DCFF-47CE-BFEF-78EE8106032A}"/>
</file>

<file path=customXml/itemProps3.xml><?xml version="1.0" encoding="utf-8"?>
<ds:datastoreItem xmlns:ds="http://schemas.openxmlformats.org/officeDocument/2006/customXml" ds:itemID="{75A966E0-0FEF-4FA9-8E7A-FC58EEF41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catedra de________________________________,</vt:lpstr>
    </vt:vector>
  </TitlesOfParts>
  <Company>FEAA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catedra de________________________________,</dc:title>
  <dc:subject/>
  <dc:creator>ctoma</dc:creator>
  <cp:keywords/>
  <cp:lastModifiedBy>PC</cp:lastModifiedBy>
  <cp:revision>2</cp:revision>
  <cp:lastPrinted>2007-02-16T10:28:00Z</cp:lastPrinted>
  <dcterms:created xsi:type="dcterms:W3CDTF">2025-11-03T05:43:00Z</dcterms:created>
  <dcterms:modified xsi:type="dcterms:W3CDTF">2025-11-03T05:43:00Z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0x010100A18653BCD661BE4CA4C79F8B6BE49498</vt:lpwstr>
  </property>
</Properties>
</file>