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A63792C" w14:textId="77777777" w:rsidR="004B5924" w:rsidRDefault="004B5924">
      <w:pPr>
        <w:spacing w:line="276" w:lineRule="auto"/>
        <w:jc w:val="right"/>
      </w:pPr>
      <w:bookmarkStart w:id="0" w:name="_GoBack"/>
      <w:bookmarkEnd w:id="0"/>
    </w:p>
    <w:p w14:paraId="152C5A77" w14:textId="77777777" w:rsidR="004B5924" w:rsidRDefault="004B5924">
      <w:pPr>
        <w:spacing w:line="276" w:lineRule="auto"/>
        <w:jc w:val="center"/>
      </w:pPr>
    </w:p>
    <w:p w14:paraId="619733A9" w14:textId="77777777" w:rsidR="004B5924" w:rsidRDefault="004B5924">
      <w:pPr>
        <w:spacing w:line="276" w:lineRule="auto"/>
        <w:jc w:val="center"/>
      </w:pPr>
    </w:p>
    <w:p w14:paraId="00A5CF96" w14:textId="77777777" w:rsidR="004B5924" w:rsidRDefault="004B5924">
      <w:pPr>
        <w:spacing w:line="276" w:lineRule="auto"/>
        <w:jc w:val="center"/>
      </w:pPr>
    </w:p>
    <w:p w14:paraId="74196443" w14:textId="77777777" w:rsidR="004B5924" w:rsidRDefault="004B5924">
      <w:pPr>
        <w:spacing w:line="276" w:lineRule="auto"/>
        <w:jc w:val="center"/>
      </w:pPr>
    </w:p>
    <w:p w14:paraId="0D285614" w14:textId="77777777" w:rsidR="004B5924" w:rsidRDefault="004B5924">
      <w:pPr>
        <w:spacing w:line="276" w:lineRule="auto"/>
        <w:jc w:val="center"/>
      </w:pPr>
    </w:p>
    <w:p w14:paraId="5F7B0652" w14:textId="77777777" w:rsidR="004B5924" w:rsidRDefault="004B5924">
      <w:pPr>
        <w:spacing w:line="276" w:lineRule="auto"/>
        <w:jc w:val="center"/>
      </w:pPr>
    </w:p>
    <w:p w14:paraId="0DAE5574" w14:textId="77777777" w:rsidR="004B5924" w:rsidRDefault="004B5924">
      <w:pPr>
        <w:spacing w:line="360" w:lineRule="auto"/>
        <w:jc w:val="center"/>
      </w:pPr>
    </w:p>
    <w:p w14:paraId="7410F890" w14:textId="2FDE1A4B" w:rsidR="004B5924" w:rsidRDefault="00C16E1D" w:rsidP="00C16E1D">
      <w:pPr>
        <w:tabs>
          <w:tab w:val="left" w:pos="6075"/>
        </w:tabs>
        <w:spacing w:line="360" w:lineRule="auto"/>
      </w:pPr>
      <w:r>
        <w:tab/>
      </w:r>
    </w:p>
    <w:p w14:paraId="4A1C99B5" w14:textId="77777777" w:rsidR="004B5924" w:rsidRDefault="004B5924">
      <w:pPr>
        <w:tabs>
          <w:tab w:val="left" w:pos="3249"/>
        </w:tabs>
        <w:spacing w:line="360" w:lineRule="auto"/>
      </w:pPr>
    </w:p>
    <w:p w14:paraId="46419616" w14:textId="77777777" w:rsidR="004B5924" w:rsidRDefault="004B5924">
      <w:pPr>
        <w:tabs>
          <w:tab w:val="left" w:pos="3249"/>
        </w:tabs>
        <w:spacing w:line="360" w:lineRule="auto"/>
      </w:pPr>
    </w:p>
    <w:p w14:paraId="5D27A1F5" w14:textId="77777777" w:rsidR="004B5924" w:rsidRDefault="004B5924">
      <w:pPr>
        <w:tabs>
          <w:tab w:val="left" w:pos="3249"/>
        </w:tabs>
        <w:spacing w:line="360" w:lineRule="auto"/>
      </w:pPr>
    </w:p>
    <w:p w14:paraId="547D1748" w14:textId="77777777" w:rsidR="004B5924" w:rsidRDefault="004808C1">
      <w:pPr>
        <w:spacing w:line="360" w:lineRule="auto"/>
        <w:jc w:val="center"/>
        <w:rPr>
          <w:b/>
          <w:sz w:val="36"/>
          <w:szCs w:val="36"/>
        </w:rPr>
      </w:pPr>
      <w:r>
        <w:rPr>
          <w:b/>
          <w:sz w:val="36"/>
          <w:szCs w:val="36"/>
        </w:rPr>
        <w:t>REGULAMENT</w:t>
      </w:r>
    </w:p>
    <w:p w14:paraId="5DF318D8" w14:textId="77777777" w:rsidR="004B5924" w:rsidRDefault="004808C1">
      <w:pPr>
        <w:spacing w:line="480" w:lineRule="auto"/>
        <w:jc w:val="center"/>
        <w:rPr>
          <w:b/>
          <w:sz w:val="32"/>
          <w:szCs w:val="32"/>
        </w:rPr>
      </w:pPr>
      <w:r>
        <w:rPr>
          <w:b/>
          <w:sz w:val="32"/>
          <w:szCs w:val="32"/>
        </w:rPr>
        <w:t xml:space="preserve">privind organizarea şi desfăşurarea admiterii în ciclul de studii universitare de doctorat </w:t>
      </w:r>
    </w:p>
    <w:p w14:paraId="520D01B1" w14:textId="35539028" w:rsidR="004B5924" w:rsidRPr="009F39BE" w:rsidRDefault="004808C1">
      <w:pPr>
        <w:spacing w:line="480" w:lineRule="auto"/>
        <w:jc w:val="center"/>
        <w:rPr>
          <w:b/>
          <w:sz w:val="32"/>
          <w:szCs w:val="32"/>
          <w:lang w:val="en-US"/>
        </w:rPr>
      </w:pPr>
      <w:r>
        <w:rPr>
          <w:b/>
          <w:sz w:val="32"/>
          <w:szCs w:val="32"/>
        </w:rPr>
        <w:t xml:space="preserve">pentru anul universitar </w:t>
      </w:r>
      <w:r w:rsidRPr="009F39BE">
        <w:rPr>
          <w:b/>
          <w:sz w:val="32"/>
          <w:szCs w:val="32"/>
        </w:rPr>
        <w:t>202</w:t>
      </w:r>
      <w:r w:rsidR="00264A35" w:rsidRPr="009F39BE">
        <w:rPr>
          <w:b/>
          <w:sz w:val="32"/>
          <w:szCs w:val="32"/>
        </w:rPr>
        <w:t>4</w:t>
      </w:r>
      <w:r w:rsidRPr="009F39BE">
        <w:rPr>
          <w:b/>
          <w:sz w:val="32"/>
          <w:szCs w:val="32"/>
        </w:rPr>
        <w:t>-202</w:t>
      </w:r>
      <w:r w:rsidR="00264A35" w:rsidRPr="009F39BE">
        <w:rPr>
          <w:b/>
          <w:sz w:val="32"/>
          <w:szCs w:val="32"/>
        </w:rPr>
        <w:t>5</w:t>
      </w:r>
    </w:p>
    <w:p w14:paraId="5806BA5E" w14:textId="77777777" w:rsidR="004B5924" w:rsidRDefault="004B5924">
      <w:pPr>
        <w:spacing w:line="480" w:lineRule="auto"/>
        <w:jc w:val="center"/>
        <w:rPr>
          <w:b/>
          <w:sz w:val="32"/>
          <w:szCs w:val="32"/>
        </w:rPr>
      </w:pPr>
    </w:p>
    <w:p w14:paraId="1528848A" w14:textId="77777777" w:rsidR="004B5924" w:rsidRDefault="004B5924">
      <w:pPr>
        <w:spacing w:line="480" w:lineRule="auto"/>
        <w:jc w:val="center"/>
        <w:rPr>
          <w:b/>
          <w:sz w:val="32"/>
          <w:szCs w:val="32"/>
        </w:rPr>
      </w:pPr>
    </w:p>
    <w:p w14:paraId="4E71542F" w14:textId="77777777" w:rsidR="004B5924" w:rsidRDefault="004B5924">
      <w:pPr>
        <w:spacing w:line="480" w:lineRule="auto"/>
        <w:jc w:val="center"/>
        <w:rPr>
          <w:b/>
          <w:sz w:val="32"/>
          <w:szCs w:val="32"/>
        </w:rPr>
      </w:pPr>
    </w:p>
    <w:p w14:paraId="6CB775CC" w14:textId="77777777" w:rsidR="004B5924" w:rsidRDefault="004B5924">
      <w:pPr>
        <w:spacing w:line="480" w:lineRule="auto"/>
        <w:jc w:val="center"/>
        <w:rPr>
          <w:b/>
          <w:sz w:val="32"/>
          <w:szCs w:val="32"/>
        </w:rPr>
      </w:pPr>
    </w:p>
    <w:p w14:paraId="552F146F" w14:textId="77777777" w:rsidR="004B5924" w:rsidRDefault="004B5924">
      <w:pPr>
        <w:spacing w:line="480" w:lineRule="auto"/>
        <w:jc w:val="center"/>
        <w:rPr>
          <w:b/>
          <w:sz w:val="32"/>
          <w:szCs w:val="32"/>
        </w:rPr>
      </w:pPr>
    </w:p>
    <w:p w14:paraId="0A2FD3F3" w14:textId="77777777" w:rsidR="004B5924" w:rsidRDefault="004B5924">
      <w:pPr>
        <w:spacing w:line="480" w:lineRule="auto"/>
        <w:jc w:val="center"/>
        <w:rPr>
          <w:b/>
          <w:sz w:val="32"/>
          <w:szCs w:val="32"/>
        </w:rPr>
      </w:pPr>
    </w:p>
    <w:p w14:paraId="67E2BAC9" w14:textId="77777777" w:rsidR="004B5924" w:rsidRDefault="004B5924">
      <w:pPr>
        <w:spacing w:line="480" w:lineRule="auto"/>
        <w:jc w:val="center"/>
        <w:rPr>
          <w:b/>
          <w:sz w:val="32"/>
          <w:szCs w:val="32"/>
        </w:rPr>
      </w:pPr>
    </w:p>
    <w:p w14:paraId="0024A2FD" w14:textId="77777777" w:rsidR="004B5924" w:rsidRDefault="004B5924">
      <w:pPr>
        <w:spacing w:line="480" w:lineRule="auto"/>
        <w:jc w:val="center"/>
        <w:rPr>
          <w:b/>
          <w:sz w:val="32"/>
          <w:szCs w:val="32"/>
        </w:rPr>
        <w:sectPr w:rsidR="004B5924">
          <w:headerReference w:type="default" r:id="rId11"/>
          <w:footerReference w:type="default" r:id="rId12"/>
          <w:headerReference w:type="first" r:id="rId13"/>
          <w:footerReference w:type="first" r:id="rId14"/>
          <w:pgSz w:w="11905" w:h="16837"/>
          <w:pgMar w:top="1134" w:right="990" w:bottom="851" w:left="1276" w:header="397" w:footer="397" w:gutter="0"/>
          <w:pgNumType w:start="1"/>
          <w:cols w:space="708"/>
          <w:titlePg/>
          <w:docGrid w:linePitch="326"/>
        </w:sectPr>
      </w:pPr>
    </w:p>
    <w:p w14:paraId="188D81F4" w14:textId="77777777" w:rsidR="004B5924" w:rsidRDefault="004B5924">
      <w:pPr>
        <w:spacing w:line="276" w:lineRule="auto"/>
        <w:jc w:val="center"/>
      </w:pPr>
    </w:p>
    <w:p w14:paraId="07BF3068" w14:textId="77777777" w:rsidR="004B5924" w:rsidRDefault="004B5924">
      <w:pPr>
        <w:spacing w:line="276" w:lineRule="auto"/>
        <w:jc w:val="center"/>
      </w:pPr>
    </w:p>
    <w:p w14:paraId="4CB0C18E" w14:textId="77777777" w:rsidR="004B5924" w:rsidRDefault="004808C1">
      <w:pPr>
        <w:spacing w:after="165"/>
        <w:ind w:left="-284"/>
        <w:jc w:val="both"/>
        <w:rPr>
          <w:b/>
        </w:rPr>
      </w:pPr>
      <w:r>
        <w:rPr>
          <w:b/>
        </w:rPr>
        <w:t>Lista responsabililor cu elaborarea, verificarea și aprobarea ediției sau, după caz, a reviziei în cadrul ediției informațiilor documentate</w:t>
      </w:r>
      <w:r>
        <w:rPr>
          <w:rStyle w:val="FootnoteReference"/>
          <w:b/>
        </w:rPr>
        <w:footnoteReference w:id="1"/>
      </w:r>
      <w:r>
        <w:rPr>
          <w:b/>
        </w:rPr>
        <w:t>:</w:t>
      </w:r>
    </w:p>
    <w:tbl>
      <w:tblPr>
        <w:tblpPr w:leftFromText="180" w:rightFromText="180" w:vertAnchor="text" w:horzAnchor="margin" w:tblpY="238"/>
        <w:tblOverlap w:val="neve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97"/>
        <w:gridCol w:w="1850"/>
        <w:gridCol w:w="1882"/>
        <w:gridCol w:w="1160"/>
        <w:gridCol w:w="1195"/>
      </w:tblGrid>
      <w:tr w:rsidR="004B5924" w14:paraId="4BBC5DC8" w14:textId="77777777">
        <w:trPr>
          <w:trHeight w:val="690"/>
        </w:trPr>
        <w:tc>
          <w:tcPr>
            <w:tcW w:w="516" w:type="dxa"/>
            <w:tcBorders>
              <w:bottom w:val="nil"/>
            </w:tcBorders>
            <w:shd w:val="clear" w:color="auto" w:fill="auto"/>
            <w:vAlign w:val="center"/>
          </w:tcPr>
          <w:p w14:paraId="33FE4454" w14:textId="77777777" w:rsidR="004B5924" w:rsidRDefault="004B5924">
            <w:pPr>
              <w:rPr>
                <w:b/>
                <w:sz w:val="20"/>
                <w:szCs w:val="20"/>
              </w:rPr>
            </w:pPr>
          </w:p>
        </w:tc>
        <w:tc>
          <w:tcPr>
            <w:tcW w:w="2697" w:type="dxa"/>
            <w:shd w:val="clear" w:color="auto" w:fill="F2F2F2"/>
            <w:vAlign w:val="center"/>
          </w:tcPr>
          <w:p w14:paraId="3C900B1B" w14:textId="77777777" w:rsidR="004B5924" w:rsidRDefault="004808C1">
            <w:pPr>
              <w:rPr>
                <w:b/>
                <w:sz w:val="20"/>
                <w:szCs w:val="20"/>
              </w:rPr>
            </w:pPr>
            <w:r>
              <w:rPr>
                <w:b/>
                <w:sz w:val="20"/>
                <w:szCs w:val="20"/>
              </w:rPr>
              <w:t>Elemente privind responsabilii/operațiunea</w:t>
            </w:r>
          </w:p>
        </w:tc>
        <w:tc>
          <w:tcPr>
            <w:tcW w:w="1850" w:type="dxa"/>
            <w:shd w:val="clear" w:color="auto" w:fill="F2F2F2"/>
            <w:vAlign w:val="center"/>
          </w:tcPr>
          <w:p w14:paraId="7D06D44F" w14:textId="77777777" w:rsidR="004B5924" w:rsidRDefault="004808C1">
            <w:pPr>
              <w:rPr>
                <w:b/>
                <w:sz w:val="20"/>
                <w:szCs w:val="20"/>
              </w:rPr>
            </w:pPr>
            <w:r>
              <w:rPr>
                <w:b/>
                <w:sz w:val="20"/>
                <w:szCs w:val="20"/>
              </w:rPr>
              <w:t>Numele și prenumele/ Funcția</w:t>
            </w:r>
          </w:p>
        </w:tc>
        <w:tc>
          <w:tcPr>
            <w:tcW w:w="1882" w:type="dxa"/>
            <w:shd w:val="clear" w:color="auto" w:fill="F2F2F2"/>
            <w:vAlign w:val="center"/>
          </w:tcPr>
          <w:p w14:paraId="0A0BE22C" w14:textId="77777777" w:rsidR="004B5924" w:rsidRDefault="004808C1">
            <w:pPr>
              <w:rPr>
                <w:b/>
                <w:sz w:val="20"/>
                <w:szCs w:val="20"/>
              </w:rPr>
            </w:pPr>
            <w:r>
              <w:rPr>
                <w:b/>
                <w:sz w:val="20"/>
                <w:szCs w:val="20"/>
              </w:rPr>
              <w:t>Compartiment</w:t>
            </w:r>
          </w:p>
        </w:tc>
        <w:tc>
          <w:tcPr>
            <w:tcW w:w="1160" w:type="dxa"/>
            <w:shd w:val="clear" w:color="auto" w:fill="F2F2F2"/>
            <w:vAlign w:val="center"/>
          </w:tcPr>
          <w:p w14:paraId="04F0750D" w14:textId="77777777" w:rsidR="004B5924" w:rsidRDefault="004808C1">
            <w:pPr>
              <w:rPr>
                <w:b/>
                <w:sz w:val="20"/>
                <w:szCs w:val="20"/>
              </w:rPr>
            </w:pPr>
            <w:r>
              <w:rPr>
                <w:b/>
                <w:sz w:val="20"/>
                <w:szCs w:val="20"/>
              </w:rPr>
              <w:t>Data</w:t>
            </w:r>
          </w:p>
        </w:tc>
        <w:tc>
          <w:tcPr>
            <w:tcW w:w="1195" w:type="dxa"/>
            <w:shd w:val="clear" w:color="auto" w:fill="F2F2F2"/>
            <w:vAlign w:val="center"/>
          </w:tcPr>
          <w:p w14:paraId="17C716A4" w14:textId="77777777" w:rsidR="004B5924" w:rsidRDefault="004808C1">
            <w:pPr>
              <w:rPr>
                <w:b/>
                <w:sz w:val="20"/>
                <w:szCs w:val="20"/>
              </w:rPr>
            </w:pPr>
            <w:r>
              <w:rPr>
                <w:b/>
                <w:sz w:val="20"/>
                <w:szCs w:val="20"/>
              </w:rPr>
              <w:t>Semnătura</w:t>
            </w:r>
          </w:p>
        </w:tc>
      </w:tr>
      <w:tr w:rsidR="004B5924" w14:paraId="30E6122E" w14:textId="77777777">
        <w:trPr>
          <w:trHeight w:val="151"/>
        </w:trPr>
        <w:tc>
          <w:tcPr>
            <w:tcW w:w="516" w:type="dxa"/>
            <w:tcBorders>
              <w:top w:val="nil"/>
            </w:tcBorders>
            <w:shd w:val="clear" w:color="auto" w:fill="auto"/>
            <w:vAlign w:val="center"/>
          </w:tcPr>
          <w:p w14:paraId="14669115" w14:textId="77777777" w:rsidR="004B5924" w:rsidRDefault="004B5924">
            <w:pPr>
              <w:rPr>
                <w:b/>
                <w:sz w:val="20"/>
                <w:szCs w:val="20"/>
              </w:rPr>
            </w:pPr>
          </w:p>
        </w:tc>
        <w:tc>
          <w:tcPr>
            <w:tcW w:w="2697" w:type="dxa"/>
            <w:shd w:val="clear" w:color="auto" w:fill="auto"/>
            <w:vAlign w:val="center"/>
          </w:tcPr>
          <w:p w14:paraId="3DD89AC9" w14:textId="77777777" w:rsidR="004B5924" w:rsidRDefault="004808C1">
            <w:pPr>
              <w:jc w:val="center"/>
              <w:rPr>
                <w:b/>
                <w:sz w:val="20"/>
                <w:szCs w:val="20"/>
              </w:rPr>
            </w:pPr>
            <w:r>
              <w:rPr>
                <w:b/>
                <w:sz w:val="20"/>
                <w:szCs w:val="20"/>
              </w:rPr>
              <w:t>1</w:t>
            </w:r>
          </w:p>
        </w:tc>
        <w:tc>
          <w:tcPr>
            <w:tcW w:w="1850" w:type="dxa"/>
            <w:shd w:val="clear" w:color="auto" w:fill="auto"/>
            <w:vAlign w:val="center"/>
          </w:tcPr>
          <w:p w14:paraId="39B6E7CA" w14:textId="77777777" w:rsidR="004B5924" w:rsidRDefault="004808C1">
            <w:pPr>
              <w:jc w:val="center"/>
              <w:rPr>
                <w:b/>
                <w:sz w:val="20"/>
                <w:szCs w:val="20"/>
              </w:rPr>
            </w:pPr>
            <w:r>
              <w:rPr>
                <w:b/>
                <w:sz w:val="20"/>
                <w:szCs w:val="20"/>
              </w:rPr>
              <w:t>2</w:t>
            </w:r>
          </w:p>
        </w:tc>
        <w:tc>
          <w:tcPr>
            <w:tcW w:w="1882" w:type="dxa"/>
            <w:shd w:val="clear" w:color="auto" w:fill="auto"/>
            <w:vAlign w:val="center"/>
          </w:tcPr>
          <w:p w14:paraId="38E6F0E6" w14:textId="77777777" w:rsidR="004B5924" w:rsidRDefault="004808C1">
            <w:pPr>
              <w:jc w:val="center"/>
              <w:rPr>
                <w:b/>
                <w:sz w:val="20"/>
                <w:szCs w:val="20"/>
              </w:rPr>
            </w:pPr>
            <w:r>
              <w:rPr>
                <w:b/>
                <w:sz w:val="20"/>
                <w:szCs w:val="20"/>
              </w:rPr>
              <w:t>3</w:t>
            </w:r>
          </w:p>
        </w:tc>
        <w:tc>
          <w:tcPr>
            <w:tcW w:w="1160" w:type="dxa"/>
            <w:shd w:val="clear" w:color="auto" w:fill="auto"/>
            <w:vAlign w:val="center"/>
          </w:tcPr>
          <w:p w14:paraId="0EB46A18" w14:textId="77777777" w:rsidR="004B5924" w:rsidRDefault="004808C1">
            <w:pPr>
              <w:jc w:val="center"/>
              <w:rPr>
                <w:b/>
                <w:sz w:val="20"/>
                <w:szCs w:val="20"/>
              </w:rPr>
            </w:pPr>
            <w:r>
              <w:rPr>
                <w:b/>
                <w:sz w:val="20"/>
                <w:szCs w:val="20"/>
              </w:rPr>
              <w:t>4</w:t>
            </w:r>
          </w:p>
        </w:tc>
        <w:tc>
          <w:tcPr>
            <w:tcW w:w="1195" w:type="dxa"/>
            <w:shd w:val="clear" w:color="auto" w:fill="auto"/>
            <w:vAlign w:val="center"/>
          </w:tcPr>
          <w:p w14:paraId="3A56D996" w14:textId="77777777" w:rsidR="004B5924" w:rsidRDefault="004808C1">
            <w:pPr>
              <w:jc w:val="center"/>
              <w:rPr>
                <w:b/>
                <w:sz w:val="20"/>
                <w:szCs w:val="20"/>
              </w:rPr>
            </w:pPr>
            <w:r>
              <w:rPr>
                <w:b/>
                <w:sz w:val="20"/>
                <w:szCs w:val="20"/>
              </w:rPr>
              <w:t>5</w:t>
            </w:r>
          </w:p>
        </w:tc>
      </w:tr>
      <w:tr w:rsidR="004B5924" w14:paraId="115F651E" w14:textId="77777777">
        <w:trPr>
          <w:trHeight w:val="362"/>
        </w:trPr>
        <w:tc>
          <w:tcPr>
            <w:tcW w:w="516" w:type="dxa"/>
            <w:shd w:val="clear" w:color="auto" w:fill="auto"/>
            <w:vAlign w:val="center"/>
          </w:tcPr>
          <w:p w14:paraId="05543B84" w14:textId="77777777" w:rsidR="004B5924" w:rsidRDefault="004808C1">
            <w:pPr>
              <w:rPr>
                <w:sz w:val="20"/>
                <w:szCs w:val="20"/>
              </w:rPr>
            </w:pPr>
            <w:r>
              <w:rPr>
                <w:sz w:val="20"/>
                <w:szCs w:val="20"/>
              </w:rPr>
              <w:t>1.1.</w:t>
            </w:r>
          </w:p>
        </w:tc>
        <w:tc>
          <w:tcPr>
            <w:tcW w:w="2697" w:type="dxa"/>
            <w:shd w:val="clear" w:color="auto" w:fill="auto"/>
            <w:vAlign w:val="center"/>
          </w:tcPr>
          <w:p w14:paraId="0B7BF167" w14:textId="77777777" w:rsidR="004B5924" w:rsidRDefault="004808C1">
            <w:pPr>
              <w:rPr>
                <w:sz w:val="20"/>
                <w:szCs w:val="20"/>
              </w:rPr>
            </w:pPr>
            <w:r>
              <w:rPr>
                <w:sz w:val="20"/>
                <w:szCs w:val="20"/>
              </w:rPr>
              <w:t>Elaborat</w:t>
            </w:r>
          </w:p>
        </w:tc>
        <w:tc>
          <w:tcPr>
            <w:tcW w:w="1850" w:type="dxa"/>
            <w:shd w:val="clear" w:color="auto" w:fill="auto"/>
            <w:vAlign w:val="center"/>
          </w:tcPr>
          <w:p w14:paraId="2CE8A39B" w14:textId="77777777" w:rsidR="004B5924" w:rsidRDefault="004808C1">
            <w:pPr>
              <w:rPr>
                <w:sz w:val="20"/>
                <w:szCs w:val="20"/>
              </w:rPr>
            </w:pPr>
            <w:r>
              <w:rPr>
                <w:sz w:val="20"/>
                <w:szCs w:val="20"/>
              </w:rPr>
              <w:t>Prof. univ. dr. Nicu GAVRILUȚĂ</w:t>
            </w:r>
          </w:p>
          <w:p w14:paraId="73D94B12" w14:textId="77777777" w:rsidR="004B5924" w:rsidRDefault="004808C1">
            <w:pPr>
              <w:rPr>
                <w:sz w:val="20"/>
                <w:szCs w:val="20"/>
              </w:rPr>
            </w:pPr>
            <w:r>
              <w:rPr>
                <w:sz w:val="20"/>
                <w:szCs w:val="20"/>
              </w:rPr>
              <w:t>Director CSUD</w:t>
            </w:r>
          </w:p>
        </w:tc>
        <w:tc>
          <w:tcPr>
            <w:tcW w:w="1882" w:type="dxa"/>
            <w:shd w:val="clear" w:color="auto" w:fill="auto"/>
            <w:vAlign w:val="center"/>
          </w:tcPr>
          <w:p w14:paraId="7221E29A" w14:textId="77777777" w:rsidR="004B5924" w:rsidRDefault="004808C1">
            <w:pPr>
              <w:spacing w:line="276" w:lineRule="auto"/>
              <w:rPr>
                <w:sz w:val="20"/>
                <w:szCs w:val="20"/>
              </w:rPr>
            </w:pPr>
            <w:r>
              <w:rPr>
                <w:sz w:val="20"/>
                <w:szCs w:val="20"/>
              </w:rPr>
              <w:t>Consiliul pentru Studiile Universitare de Doctorat</w:t>
            </w:r>
          </w:p>
        </w:tc>
        <w:tc>
          <w:tcPr>
            <w:tcW w:w="1160" w:type="dxa"/>
            <w:shd w:val="clear" w:color="auto" w:fill="auto"/>
            <w:vAlign w:val="center"/>
          </w:tcPr>
          <w:p w14:paraId="18FF31E6" w14:textId="612C9C13" w:rsidR="004B5924" w:rsidRDefault="00576901" w:rsidP="00576901">
            <w:pPr>
              <w:rPr>
                <w:sz w:val="20"/>
                <w:szCs w:val="20"/>
              </w:rPr>
            </w:pPr>
            <w:r w:rsidRPr="009F39BE">
              <w:rPr>
                <w:sz w:val="20"/>
                <w:szCs w:val="20"/>
              </w:rPr>
              <w:t>12</w:t>
            </w:r>
            <w:r w:rsidR="004808C1" w:rsidRPr="009F39BE">
              <w:rPr>
                <w:sz w:val="20"/>
                <w:szCs w:val="20"/>
              </w:rPr>
              <w:t>.0</w:t>
            </w:r>
            <w:r w:rsidR="00DF083D" w:rsidRPr="009F39BE">
              <w:rPr>
                <w:sz w:val="20"/>
                <w:szCs w:val="20"/>
              </w:rPr>
              <w:t>1</w:t>
            </w:r>
            <w:r w:rsidR="004808C1" w:rsidRPr="009F39BE">
              <w:rPr>
                <w:sz w:val="20"/>
                <w:szCs w:val="20"/>
              </w:rPr>
              <w:t>.202</w:t>
            </w:r>
            <w:r w:rsidR="00DF083D" w:rsidRPr="009F39BE">
              <w:rPr>
                <w:sz w:val="20"/>
                <w:szCs w:val="20"/>
              </w:rPr>
              <w:t>4</w:t>
            </w:r>
          </w:p>
        </w:tc>
        <w:tc>
          <w:tcPr>
            <w:tcW w:w="1195" w:type="dxa"/>
            <w:shd w:val="clear" w:color="auto" w:fill="auto"/>
            <w:vAlign w:val="center"/>
          </w:tcPr>
          <w:p w14:paraId="1129F317" w14:textId="77777777" w:rsidR="004B5924" w:rsidRDefault="004B5924">
            <w:pPr>
              <w:rPr>
                <w:sz w:val="20"/>
                <w:szCs w:val="20"/>
              </w:rPr>
            </w:pPr>
          </w:p>
        </w:tc>
      </w:tr>
      <w:tr w:rsidR="004B5924" w14:paraId="0D8B42F4" w14:textId="77777777">
        <w:trPr>
          <w:trHeight w:val="362"/>
        </w:trPr>
        <w:tc>
          <w:tcPr>
            <w:tcW w:w="516" w:type="dxa"/>
            <w:shd w:val="clear" w:color="auto" w:fill="auto"/>
            <w:vAlign w:val="center"/>
          </w:tcPr>
          <w:p w14:paraId="13B6E660" w14:textId="77777777" w:rsidR="004B5924" w:rsidRDefault="004808C1">
            <w:pPr>
              <w:rPr>
                <w:sz w:val="20"/>
                <w:szCs w:val="20"/>
              </w:rPr>
            </w:pPr>
            <w:r>
              <w:rPr>
                <w:sz w:val="20"/>
                <w:szCs w:val="20"/>
              </w:rPr>
              <w:t>1.2.</w:t>
            </w:r>
          </w:p>
        </w:tc>
        <w:tc>
          <w:tcPr>
            <w:tcW w:w="2697" w:type="dxa"/>
            <w:shd w:val="clear" w:color="auto" w:fill="auto"/>
            <w:vAlign w:val="center"/>
          </w:tcPr>
          <w:p w14:paraId="6AB0A65F" w14:textId="77777777" w:rsidR="004B5924" w:rsidRDefault="004808C1">
            <w:pPr>
              <w:rPr>
                <w:sz w:val="20"/>
                <w:szCs w:val="20"/>
              </w:rPr>
            </w:pPr>
            <w:r>
              <w:rPr>
                <w:sz w:val="20"/>
                <w:szCs w:val="20"/>
              </w:rPr>
              <w:t>Verificat (avizarea conținutului)</w:t>
            </w:r>
          </w:p>
        </w:tc>
        <w:tc>
          <w:tcPr>
            <w:tcW w:w="1850" w:type="dxa"/>
            <w:shd w:val="clear" w:color="auto" w:fill="auto"/>
            <w:vAlign w:val="center"/>
          </w:tcPr>
          <w:p w14:paraId="15EB7EE1" w14:textId="77777777" w:rsidR="004B5924" w:rsidRDefault="004808C1">
            <w:pPr>
              <w:rPr>
                <w:sz w:val="20"/>
                <w:szCs w:val="20"/>
              </w:rPr>
            </w:pPr>
            <w:r>
              <w:rPr>
                <w:sz w:val="20"/>
                <w:szCs w:val="20"/>
              </w:rPr>
              <w:t>Conf. univ. dr. Florin BRÎNZĂ</w:t>
            </w:r>
          </w:p>
        </w:tc>
        <w:tc>
          <w:tcPr>
            <w:tcW w:w="1882" w:type="dxa"/>
            <w:shd w:val="clear" w:color="auto" w:fill="auto"/>
            <w:vAlign w:val="center"/>
          </w:tcPr>
          <w:p w14:paraId="066F3497" w14:textId="77777777" w:rsidR="004B5924" w:rsidRDefault="004808C1">
            <w:pPr>
              <w:spacing w:line="276" w:lineRule="auto"/>
              <w:rPr>
                <w:sz w:val="20"/>
                <w:szCs w:val="20"/>
              </w:rPr>
            </w:pPr>
            <w:r>
              <w:rPr>
                <w:sz w:val="20"/>
                <w:szCs w:val="20"/>
              </w:rPr>
              <w:t>Prorector pentru studii doctorale, digitalizare, Filialele și Extensiunile UAIC</w:t>
            </w:r>
          </w:p>
        </w:tc>
        <w:tc>
          <w:tcPr>
            <w:tcW w:w="1160" w:type="dxa"/>
            <w:shd w:val="clear" w:color="auto" w:fill="auto"/>
            <w:vAlign w:val="center"/>
          </w:tcPr>
          <w:p w14:paraId="734136D4" w14:textId="77777777" w:rsidR="004B5924" w:rsidRDefault="004B5924">
            <w:pPr>
              <w:rPr>
                <w:sz w:val="20"/>
                <w:szCs w:val="20"/>
              </w:rPr>
            </w:pPr>
          </w:p>
        </w:tc>
        <w:tc>
          <w:tcPr>
            <w:tcW w:w="1195" w:type="dxa"/>
            <w:shd w:val="clear" w:color="auto" w:fill="auto"/>
            <w:vAlign w:val="center"/>
          </w:tcPr>
          <w:p w14:paraId="27E16924" w14:textId="77777777" w:rsidR="004B5924" w:rsidRDefault="004B5924">
            <w:pPr>
              <w:rPr>
                <w:sz w:val="20"/>
                <w:szCs w:val="20"/>
              </w:rPr>
            </w:pPr>
          </w:p>
        </w:tc>
      </w:tr>
      <w:tr w:rsidR="004B5924" w14:paraId="610AEC2C" w14:textId="77777777">
        <w:trPr>
          <w:trHeight w:val="985"/>
        </w:trPr>
        <w:tc>
          <w:tcPr>
            <w:tcW w:w="516" w:type="dxa"/>
            <w:shd w:val="clear" w:color="auto" w:fill="auto"/>
            <w:vAlign w:val="center"/>
          </w:tcPr>
          <w:p w14:paraId="329438F3" w14:textId="77777777" w:rsidR="004B5924" w:rsidRDefault="004808C1">
            <w:pPr>
              <w:rPr>
                <w:sz w:val="20"/>
                <w:szCs w:val="20"/>
              </w:rPr>
            </w:pPr>
            <w:r>
              <w:rPr>
                <w:sz w:val="20"/>
                <w:szCs w:val="20"/>
              </w:rPr>
              <w:t>1.3.</w:t>
            </w:r>
          </w:p>
        </w:tc>
        <w:tc>
          <w:tcPr>
            <w:tcW w:w="2697" w:type="dxa"/>
            <w:shd w:val="clear" w:color="auto" w:fill="auto"/>
            <w:vAlign w:val="center"/>
          </w:tcPr>
          <w:p w14:paraId="7B597F7E" w14:textId="77777777" w:rsidR="004B5924" w:rsidRDefault="004808C1">
            <w:pPr>
              <w:rPr>
                <w:i/>
                <w:spacing w:val="-4"/>
                <w:sz w:val="20"/>
                <w:szCs w:val="20"/>
              </w:rPr>
            </w:pPr>
            <w:r>
              <w:rPr>
                <w:sz w:val="20"/>
                <w:szCs w:val="20"/>
              </w:rPr>
              <w:t xml:space="preserve">Aviz conformitate cu </w:t>
            </w:r>
            <w:r>
              <w:rPr>
                <w:i/>
                <w:spacing w:val="-4"/>
                <w:sz w:val="20"/>
                <w:szCs w:val="20"/>
              </w:rPr>
              <w:t>Procedură de sistem</w:t>
            </w:r>
          </w:p>
          <w:p w14:paraId="337CEDF9" w14:textId="77777777" w:rsidR="004B5924" w:rsidRDefault="004808C1">
            <w:pPr>
              <w:rPr>
                <w:sz w:val="20"/>
                <w:szCs w:val="20"/>
              </w:rPr>
            </w:pPr>
            <w:r>
              <w:rPr>
                <w:i/>
                <w:spacing w:val="-4"/>
                <w:sz w:val="20"/>
                <w:szCs w:val="20"/>
              </w:rPr>
              <w:t>privind inițierea, elaborarea, aprobarea, difuzarea, retragerea și arhivarea informațiilor documentate (regulamente, metodologii sau a altor documente asimilate) din cadrul Universității „Alexandru Ioan Cuza” din Iași</w:t>
            </w:r>
          </w:p>
        </w:tc>
        <w:tc>
          <w:tcPr>
            <w:tcW w:w="1850" w:type="dxa"/>
            <w:shd w:val="clear" w:color="auto" w:fill="auto"/>
            <w:vAlign w:val="center"/>
          </w:tcPr>
          <w:p w14:paraId="5AC24432" w14:textId="77777777" w:rsidR="004B5924" w:rsidRDefault="004B5924">
            <w:pPr>
              <w:rPr>
                <w:sz w:val="20"/>
                <w:szCs w:val="20"/>
              </w:rPr>
            </w:pPr>
          </w:p>
        </w:tc>
        <w:tc>
          <w:tcPr>
            <w:tcW w:w="1882" w:type="dxa"/>
            <w:shd w:val="clear" w:color="auto" w:fill="auto"/>
            <w:vAlign w:val="center"/>
          </w:tcPr>
          <w:p w14:paraId="69BF0ABA" w14:textId="7BCBAC4E" w:rsidR="004B5924" w:rsidRDefault="00C16E1D">
            <w:pPr>
              <w:rPr>
                <w:color w:val="FF0000"/>
                <w:sz w:val="20"/>
                <w:szCs w:val="20"/>
              </w:rPr>
            </w:pPr>
            <w:r>
              <w:rPr>
                <w:sz w:val="20"/>
                <w:szCs w:val="20"/>
              </w:rPr>
              <w:t>M</w:t>
            </w:r>
            <w:r w:rsidR="004808C1">
              <w:rPr>
                <w:sz w:val="20"/>
                <w:szCs w:val="20"/>
              </w:rPr>
              <w:t>anagementul calității</w:t>
            </w:r>
          </w:p>
        </w:tc>
        <w:tc>
          <w:tcPr>
            <w:tcW w:w="1160" w:type="dxa"/>
            <w:shd w:val="clear" w:color="auto" w:fill="auto"/>
            <w:vAlign w:val="center"/>
          </w:tcPr>
          <w:p w14:paraId="610B763B" w14:textId="77777777" w:rsidR="004B5924" w:rsidRDefault="004B5924">
            <w:pPr>
              <w:rPr>
                <w:sz w:val="20"/>
                <w:szCs w:val="20"/>
              </w:rPr>
            </w:pPr>
          </w:p>
        </w:tc>
        <w:tc>
          <w:tcPr>
            <w:tcW w:w="1195" w:type="dxa"/>
            <w:shd w:val="clear" w:color="auto" w:fill="auto"/>
            <w:vAlign w:val="center"/>
          </w:tcPr>
          <w:p w14:paraId="0FC3AE85" w14:textId="77777777" w:rsidR="004B5924" w:rsidRDefault="004B5924">
            <w:pPr>
              <w:rPr>
                <w:sz w:val="20"/>
                <w:szCs w:val="20"/>
              </w:rPr>
            </w:pPr>
          </w:p>
        </w:tc>
      </w:tr>
      <w:tr w:rsidR="004B5924" w14:paraId="1F06854A" w14:textId="77777777">
        <w:trPr>
          <w:trHeight w:val="1337"/>
        </w:trPr>
        <w:tc>
          <w:tcPr>
            <w:tcW w:w="516" w:type="dxa"/>
            <w:vMerge w:val="restart"/>
            <w:shd w:val="clear" w:color="auto" w:fill="auto"/>
            <w:vAlign w:val="center"/>
          </w:tcPr>
          <w:p w14:paraId="7B13353D" w14:textId="77777777" w:rsidR="004B5924" w:rsidRDefault="004808C1">
            <w:pPr>
              <w:rPr>
                <w:sz w:val="20"/>
                <w:szCs w:val="20"/>
              </w:rPr>
            </w:pPr>
            <w:r>
              <w:rPr>
                <w:sz w:val="20"/>
                <w:szCs w:val="20"/>
              </w:rPr>
              <w:t>1.4.</w:t>
            </w:r>
          </w:p>
        </w:tc>
        <w:tc>
          <w:tcPr>
            <w:tcW w:w="2697" w:type="dxa"/>
            <w:vMerge w:val="restart"/>
            <w:shd w:val="clear" w:color="auto" w:fill="auto"/>
            <w:vAlign w:val="center"/>
          </w:tcPr>
          <w:p w14:paraId="2AEE5C86" w14:textId="77777777" w:rsidR="004B5924" w:rsidRDefault="004808C1">
            <w:pPr>
              <w:rPr>
                <w:sz w:val="20"/>
                <w:szCs w:val="20"/>
              </w:rPr>
            </w:pPr>
            <w:r>
              <w:rPr>
                <w:sz w:val="20"/>
                <w:szCs w:val="20"/>
              </w:rPr>
              <w:t xml:space="preserve">Aprobat </w:t>
            </w:r>
          </w:p>
        </w:tc>
        <w:tc>
          <w:tcPr>
            <w:tcW w:w="1850" w:type="dxa"/>
            <w:vMerge w:val="restart"/>
            <w:shd w:val="clear" w:color="auto" w:fill="auto"/>
            <w:vAlign w:val="center"/>
          </w:tcPr>
          <w:p w14:paraId="156041CC" w14:textId="77777777" w:rsidR="004B5924" w:rsidRDefault="004B5924">
            <w:pPr>
              <w:rPr>
                <w:sz w:val="20"/>
                <w:szCs w:val="20"/>
              </w:rPr>
            </w:pPr>
          </w:p>
        </w:tc>
        <w:tc>
          <w:tcPr>
            <w:tcW w:w="1882" w:type="dxa"/>
            <w:shd w:val="clear" w:color="auto" w:fill="auto"/>
            <w:vAlign w:val="center"/>
          </w:tcPr>
          <w:p w14:paraId="28C8DCAB" w14:textId="77777777" w:rsidR="004B5924" w:rsidRDefault="004808C1">
            <w:pPr>
              <w:rPr>
                <w:sz w:val="20"/>
                <w:szCs w:val="20"/>
              </w:rPr>
            </w:pPr>
            <w:r>
              <w:rPr>
                <w:sz w:val="20"/>
                <w:szCs w:val="20"/>
              </w:rPr>
              <w:t>Biroul Executiv al Consiliului de Administrație</w:t>
            </w:r>
          </w:p>
        </w:tc>
        <w:tc>
          <w:tcPr>
            <w:tcW w:w="2355" w:type="dxa"/>
            <w:gridSpan w:val="2"/>
            <w:shd w:val="clear" w:color="auto" w:fill="auto"/>
            <w:vAlign w:val="center"/>
          </w:tcPr>
          <w:p w14:paraId="3CC65062" w14:textId="77777777" w:rsidR="004B5924" w:rsidRDefault="004B5924">
            <w:pPr>
              <w:rPr>
                <w:sz w:val="20"/>
                <w:szCs w:val="20"/>
              </w:rPr>
            </w:pPr>
          </w:p>
        </w:tc>
      </w:tr>
      <w:tr w:rsidR="004B5924" w14:paraId="7F0AEABA" w14:textId="77777777">
        <w:trPr>
          <w:trHeight w:val="1247"/>
        </w:trPr>
        <w:tc>
          <w:tcPr>
            <w:tcW w:w="516" w:type="dxa"/>
            <w:vMerge/>
            <w:shd w:val="clear" w:color="auto" w:fill="auto"/>
            <w:vAlign w:val="center"/>
          </w:tcPr>
          <w:p w14:paraId="58341883" w14:textId="77777777" w:rsidR="004B5924" w:rsidRDefault="004B5924">
            <w:pPr>
              <w:rPr>
                <w:sz w:val="20"/>
                <w:szCs w:val="20"/>
              </w:rPr>
            </w:pPr>
          </w:p>
        </w:tc>
        <w:tc>
          <w:tcPr>
            <w:tcW w:w="2697" w:type="dxa"/>
            <w:vMerge/>
            <w:shd w:val="clear" w:color="auto" w:fill="auto"/>
            <w:vAlign w:val="center"/>
          </w:tcPr>
          <w:p w14:paraId="619D2F02" w14:textId="77777777" w:rsidR="004B5924" w:rsidRDefault="004B5924">
            <w:pPr>
              <w:rPr>
                <w:sz w:val="20"/>
                <w:szCs w:val="20"/>
              </w:rPr>
            </w:pPr>
          </w:p>
        </w:tc>
        <w:tc>
          <w:tcPr>
            <w:tcW w:w="1850" w:type="dxa"/>
            <w:vMerge/>
            <w:shd w:val="clear" w:color="auto" w:fill="auto"/>
            <w:vAlign w:val="center"/>
          </w:tcPr>
          <w:p w14:paraId="66213C43" w14:textId="77777777" w:rsidR="004B5924" w:rsidRDefault="004B5924">
            <w:pPr>
              <w:jc w:val="center"/>
              <w:rPr>
                <w:sz w:val="20"/>
                <w:szCs w:val="20"/>
              </w:rPr>
            </w:pPr>
          </w:p>
        </w:tc>
        <w:tc>
          <w:tcPr>
            <w:tcW w:w="1882" w:type="dxa"/>
            <w:shd w:val="clear" w:color="auto" w:fill="auto"/>
            <w:vAlign w:val="center"/>
          </w:tcPr>
          <w:p w14:paraId="2411BCB2" w14:textId="77777777" w:rsidR="004B5924" w:rsidRDefault="004808C1">
            <w:pPr>
              <w:rPr>
                <w:sz w:val="20"/>
                <w:szCs w:val="20"/>
              </w:rPr>
            </w:pPr>
            <w:r>
              <w:rPr>
                <w:sz w:val="20"/>
                <w:szCs w:val="20"/>
              </w:rPr>
              <w:t>Consiliul de Administrație</w:t>
            </w:r>
          </w:p>
        </w:tc>
        <w:tc>
          <w:tcPr>
            <w:tcW w:w="2355" w:type="dxa"/>
            <w:gridSpan w:val="2"/>
            <w:shd w:val="clear" w:color="auto" w:fill="auto"/>
            <w:vAlign w:val="center"/>
          </w:tcPr>
          <w:p w14:paraId="5780B0C9" w14:textId="77777777" w:rsidR="004B5924" w:rsidRDefault="004B5924">
            <w:pPr>
              <w:rPr>
                <w:sz w:val="20"/>
                <w:szCs w:val="20"/>
              </w:rPr>
            </w:pPr>
          </w:p>
        </w:tc>
      </w:tr>
      <w:tr w:rsidR="004B5924" w14:paraId="2396F4E5" w14:textId="77777777">
        <w:trPr>
          <w:trHeight w:val="1247"/>
        </w:trPr>
        <w:tc>
          <w:tcPr>
            <w:tcW w:w="516" w:type="dxa"/>
            <w:vMerge/>
            <w:shd w:val="clear" w:color="auto" w:fill="auto"/>
            <w:vAlign w:val="center"/>
          </w:tcPr>
          <w:p w14:paraId="60DBEE5C" w14:textId="77777777" w:rsidR="004B5924" w:rsidRDefault="004B5924">
            <w:pPr>
              <w:rPr>
                <w:sz w:val="20"/>
                <w:szCs w:val="20"/>
              </w:rPr>
            </w:pPr>
          </w:p>
        </w:tc>
        <w:tc>
          <w:tcPr>
            <w:tcW w:w="2697" w:type="dxa"/>
            <w:vMerge/>
            <w:shd w:val="clear" w:color="auto" w:fill="auto"/>
            <w:vAlign w:val="center"/>
          </w:tcPr>
          <w:p w14:paraId="705424F2" w14:textId="77777777" w:rsidR="004B5924" w:rsidRDefault="004B5924">
            <w:pPr>
              <w:rPr>
                <w:sz w:val="20"/>
                <w:szCs w:val="20"/>
              </w:rPr>
            </w:pPr>
          </w:p>
        </w:tc>
        <w:tc>
          <w:tcPr>
            <w:tcW w:w="1850" w:type="dxa"/>
            <w:vMerge/>
            <w:shd w:val="clear" w:color="auto" w:fill="auto"/>
            <w:vAlign w:val="center"/>
          </w:tcPr>
          <w:p w14:paraId="671A5CD6" w14:textId="77777777" w:rsidR="004B5924" w:rsidRDefault="004B5924">
            <w:pPr>
              <w:jc w:val="center"/>
              <w:rPr>
                <w:sz w:val="20"/>
                <w:szCs w:val="20"/>
              </w:rPr>
            </w:pPr>
          </w:p>
        </w:tc>
        <w:tc>
          <w:tcPr>
            <w:tcW w:w="1882" w:type="dxa"/>
            <w:shd w:val="clear" w:color="auto" w:fill="auto"/>
            <w:vAlign w:val="center"/>
          </w:tcPr>
          <w:p w14:paraId="79686092" w14:textId="77777777" w:rsidR="004B5924" w:rsidRDefault="004808C1">
            <w:pPr>
              <w:rPr>
                <w:color w:val="000000" w:themeColor="text1"/>
                <w:sz w:val="20"/>
                <w:szCs w:val="20"/>
              </w:rPr>
            </w:pPr>
            <w:r>
              <w:rPr>
                <w:color w:val="000000" w:themeColor="text1"/>
                <w:sz w:val="20"/>
                <w:szCs w:val="20"/>
              </w:rPr>
              <w:t>Senatul Universității</w:t>
            </w:r>
          </w:p>
        </w:tc>
        <w:tc>
          <w:tcPr>
            <w:tcW w:w="2355" w:type="dxa"/>
            <w:gridSpan w:val="2"/>
            <w:shd w:val="clear" w:color="auto" w:fill="auto"/>
            <w:vAlign w:val="center"/>
          </w:tcPr>
          <w:p w14:paraId="344DB148" w14:textId="77777777" w:rsidR="004B5924" w:rsidRDefault="004B5924">
            <w:pPr>
              <w:rPr>
                <w:sz w:val="20"/>
                <w:szCs w:val="20"/>
              </w:rPr>
            </w:pPr>
          </w:p>
        </w:tc>
      </w:tr>
      <w:tr w:rsidR="004B5924" w14:paraId="355E1962" w14:textId="77777777">
        <w:trPr>
          <w:trHeight w:val="623"/>
        </w:trPr>
        <w:tc>
          <w:tcPr>
            <w:tcW w:w="516" w:type="dxa"/>
            <w:shd w:val="clear" w:color="auto" w:fill="auto"/>
            <w:vAlign w:val="center"/>
          </w:tcPr>
          <w:p w14:paraId="713DB195" w14:textId="77777777" w:rsidR="004B5924" w:rsidRDefault="004808C1">
            <w:pPr>
              <w:rPr>
                <w:sz w:val="20"/>
                <w:szCs w:val="20"/>
              </w:rPr>
            </w:pPr>
            <w:r>
              <w:rPr>
                <w:sz w:val="20"/>
                <w:szCs w:val="20"/>
              </w:rPr>
              <w:t>1.5.</w:t>
            </w:r>
          </w:p>
        </w:tc>
        <w:tc>
          <w:tcPr>
            <w:tcW w:w="2697" w:type="dxa"/>
            <w:shd w:val="clear" w:color="auto" w:fill="auto"/>
            <w:vAlign w:val="center"/>
          </w:tcPr>
          <w:p w14:paraId="66D28A67" w14:textId="77777777" w:rsidR="004B5924" w:rsidRDefault="004808C1">
            <w:pPr>
              <w:rPr>
                <w:sz w:val="20"/>
                <w:szCs w:val="20"/>
              </w:rPr>
            </w:pPr>
            <w:r>
              <w:rPr>
                <w:color w:val="000000"/>
                <w:sz w:val="20"/>
                <w:szCs w:val="20"/>
              </w:rPr>
              <w:t>Arhivare original</w:t>
            </w:r>
          </w:p>
        </w:tc>
        <w:tc>
          <w:tcPr>
            <w:tcW w:w="1850" w:type="dxa"/>
            <w:shd w:val="clear" w:color="auto" w:fill="auto"/>
            <w:vAlign w:val="center"/>
          </w:tcPr>
          <w:p w14:paraId="36147333" w14:textId="77777777" w:rsidR="004B5924" w:rsidRDefault="004B5924">
            <w:pPr>
              <w:spacing w:line="360" w:lineRule="auto"/>
              <w:rPr>
                <w:sz w:val="20"/>
                <w:szCs w:val="20"/>
              </w:rPr>
            </w:pPr>
          </w:p>
        </w:tc>
        <w:tc>
          <w:tcPr>
            <w:tcW w:w="1882" w:type="dxa"/>
            <w:shd w:val="clear" w:color="auto" w:fill="auto"/>
            <w:vAlign w:val="center"/>
          </w:tcPr>
          <w:p w14:paraId="499446F1" w14:textId="162E9CFD" w:rsidR="004B5924" w:rsidRDefault="00C16E1D">
            <w:pPr>
              <w:rPr>
                <w:color w:val="000000" w:themeColor="text1"/>
                <w:sz w:val="20"/>
                <w:szCs w:val="20"/>
              </w:rPr>
            </w:pPr>
            <w:r>
              <w:rPr>
                <w:sz w:val="20"/>
                <w:szCs w:val="20"/>
              </w:rPr>
              <w:t xml:space="preserve">Rectorat-Compartiment </w:t>
            </w:r>
            <w:r w:rsidR="004808C1">
              <w:rPr>
                <w:sz w:val="20"/>
                <w:szCs w:val="20"/>
              </w:rPr>
              <w:t>Studiile Universitare de Doctorat</w:t>
            </w:r>
          </w:p>
        </w:tc>
        <w:tc>
          <w:tcPr>
            <w:tcW w:w="2355" w:type="dxa"/>
            <w:gridSpan w:val="2"/>
            <w:shd w:val="clear" w:color="auto" w:fill="auto"/>
            <w:vAlign w:val="center"/>
          </w:tcPr>
          <w:p w14:paraId="5872561A" w14:textId="77777777" w:rsidR="004B5924" w:rsidRDefault="004B5924">
            <w:pPr>
              <w:rPr>
                <w:sz w:val="20"/>
                <w:szCs w:val="20"/>
              </w:rPr>
            </w:pPr>
          </w:p>
        </w:tc>
      </w:tr>
    </w:tbl>
    <w:p w14:paraId="76009AB1" w14:textId="77777777" w:rsidR="004B5924" w:rsidRDefault="004B5924">
      <w:pPr>
        <w:spacing w:after="165"/>
        <w:ind w:left="-284"/>
        <w:jc w:val="both"/>
        <w:rPr>
          <w:b/>
        </w:rPr>
      </w:pPr>
    </w:p>
    <w:p w14:paraId="103B6D31" w14:textId="77777777" w:rsidR="004B5924" w:rsidRDefault="004B5924">
      <w:pPr>
        <w:spacing w:line="276" w:lineRule="auto"/>
        <w:jc w:val="center"/>
      </w:pPr>
    </w:p>
    <w:p w14:paraId="52D8B210" w14:textId="77777777" w:rsidR="004B5924" w:rsidRDefault="004B5924">
      <w:pPr>
        <w:tabs>
          <w:tab w:val="left" w:pos="3249"/>
        </w:tabs>
        <w:spacing w:line="276" w:lineRule="auto"/>
      </w:pPr>
    </w:p>
    <w:p w14:paraId="5E33F1AB" w14:textId="77777777" w:rsidR="004B5924" w:rsidRDefault="004B5924">
      <w:pPr>
        <w:spacing w:line="360" w:lineRule="auto"/>
        <w:jc w:val="both"/>
        <w:rPr>
          <w:b/>
        </w:rPr>
      </w:pPr>
    </w:p>
    <w:p w14:paraId="09CB0F81" w14:textId="77777777" w:rsidR="004B5924" w:rsidRDefault="004B5924">
      <w:pPr>
        <w:spacing w:line="360" w:lineRule="auto"/>
        <w:jc w:val="both"/>
        <w:rPr>
          <w:b/>
        </w:rPr>
      </w:pPr>
    </w:p>
    <w:p w14:paraId="4E1E8E4C" w14:textId="77777777" w:rsidR="004B5924" w:rsidRDefault="004B5924">
      <w:pPr>
        <w:spacing w:line="360" w:lineRule="auto"/>
        <w:jc w:val="both"/>
        <w:rPr>
          <w:b/>
        </w:rPr>
      </w:pPr>
    </w:p>
    <w:p w14:paraId="0545C990" w14:textId="77777777" w:rsidR="004B5924" w:rsidRDefault="004B5924">
      <w:pPr>
        <w:spacing w:line="360" w:lineRule="auto"/>
        <w:jc w:val="both"/>
        <w:rPr>
          <w:b/>
        </w:rPr>
      </w:pPr>
    </w:p>
    <w:p w14:paraId="61524585" w14:textId="77777777" w:rsidR="004B5924" w:rsidRDefault="004B5924">
      <w:pPr>
        <w:spacing w:line="360" w:lineRule="auto"/>
        <w:jc w:val="both"/>
        <w:rPr>
          <w:b/>
        </w:rPr>
      </w:pPr>
    </w:p>
    <w:p w14:paraId="2C41DF9A" w14:textId="77777777" w:rsidR="004B5924" w:rsidRDefault="004808C1">
      <w:pPr>
        <w:spacing w:line="360" w:lineRule="auto"/>
        <w:jc w:val="both"/>
        <w:rPr>
          <w:b/>
        </w:rPr>
      </w:pPr>
      <w:r>
        <w:rPr>
          <w:b/>
        </w:rPr>
        <w:t>CUPRINS</w:t>
      </w:r>
    </w:p>
    <w:p w14:paraId="762BDA14" w14:textId="77777777" w:rsidR="004B5924" w:rsidRDefault="004B5924">
      <w:pPr>
        <w:jc w:val="both"/>
      </w:pPr>
    </w:p>
    <w:p w14:paraId="0B5A27E1" w14:textId="77777777" w:rsidR="004B5924" w:rsidRDefault="004B5924">
      <w:pPr>
        <w:pStyle w:val="TOC1"/>
      </w:pPr>
    </w:p>
    <w:sdt>
      <w:sdtPr>
        <w:rPr>
          <w:rFonts w:ascii="Times New Roman" w:eastAsia="Times New Roman" w:hAnsi="Times New Roman" w:cs="Times New Roman"/>
          <w:color w:val="auto"/>
          <w:sz w:val="24"/>
          <w:szCs w:val="24"/>
          <w:lang w:val="ro-RO" w:eastAsia="ro-RO"/>
        </w:rPr>
        <w:id w:val="1356078449"/>
        <w:docPartObj>
          <w:docPartGallery w:val="Table of Contents"/>
          <w:docPartUnique/>
        </w:docPartObj>
      </w:sdtPr>
      <w:sdtEndPr>
        <w:rPr>
          <w:b/>
          <w:bCs/>
        </w:rPr>
      </w:sdtEndPr>
      <w:sdtContent>
        <w:p w14:paraId="1CB8AAE6" w14:textId="77777777" w:rsidR="004B5924" w:rsidRDefault="004B5924">
          <w:pPr>
            <w:pStyle w:val="TOCHeading1"/>
          </w:pPr>
        </w:p>
        <w:p w14:paraId="7380E9F5" w14:textId="77777777" w:rsidR="004B5924" w:rsidRDefault="004808C1">
          <w:pPr>
            <w:pStyle w:val="TOC1"/>
            <w:rPr>
              <w:rFonts w:asciiTheme="minorHAnsi" w:eastAsiaTheme="minorEastAsia" w:hAnsiTheme="minorHAnsi" w:cstheme="minorBidi"/>
              <w:sz w:val="22"/>
              <w:szCs w:val="22"/>
              <w:lang w:val="en-US" w:eastAsia="en-US"/>
            </w:rPr>
          </w:pPr>
          <w:r>
            <w:rPr>
              <w:b/>
              <w:bCs/>
            </w:rPr>
            <w:fldChar w:fldCharType="begin"/>
          </w:r>
          <w:r>
            <w:rPr>
              <w:b/>
              <w:bCs/>
            </w:rPr>
            <w:instrText xml:space="preserve"> TOC \o "1-3" \h \z \u </w:instrText>
          </w:r>
          <w:r>
            <w:rPr>
              <w:b/>
              <w:bCs/>
            </w:rPr>
            <w:fldChar w:fldCharType="separate"/>
          </w:r>
          <w:hyperlink w:anchor="_Toc94688279" w:history="1">
            <w:r>
              <w:rPr>
                <w:rStyle w:val="Hyperlink"/>
              </w:rPr>
              <w:t>CAPITOLUL I. PRINCIPII GENERALE</w:t>
            </w:r>
            <w:r>
              <w:tab/>
            </w:r>
            <w:r>
              <w:fldChar w:fldCharType="begin"/>
            </w:r>
            <w:r>
              <w:instrText xml:space="preserve"> PAGEREF _Toc94688279 \h </w:instrText>
            </w:r>
            <w:r>
              <w:fldChar w:fldCharType="separate"/>
            </w:r>
            <w:r w:rsidR="00E06EE2">
              <w:rPr>
                <w:noProof/>
              </w:rPr>
              <w:t>4</w:t>
            </w:r>
            <w:r>
              <w:fldChar w:fldCharType="end"/>
            </w:r>
          </w:hyperlink>
        </w:p>
        <w:p w14:paraId="339C42E2" w14:textId="77777777" w:rsidR="004B5924" w:rsidRDefault="0066548D">
          <w:pPr>
            <w:pStyle w:val="TOC1"/>
            <w:rPr>
              <w:rFonts w:asciiTheme="minorHAnsi" w:eastAsiaTheme="minorEastAsia" w:hAnsiTheme="minorHAnsi" w:cstheme="minorBidi"/>
              <w:sz w:val="22"/>
              <w:szCs w:val="22"/>
              <w:lang w:val="en-US" w:eastAsia="en-US"/>
            </w:rPr>
          </w:pPr>
          <w:hyperlink w:anchor="_Toc94688280" w:history="1">
            <w:r w:rsidR="004808C1">
              <w:rPr>
                <w:rStyle w:val="Hyperlink"/>
              </w:rPr>
              <w:t>CAPITOLUL II. DOCUMENTE DE REFERINȚĂ</w:t>
            </w:r>
            <w:r w:rsidR="004808C1">
              <w:tab/>
            </w:r>
            <w:r w:rsidR="004808C1">
              <w:fldChar w:fldCharType="begin"/>
            </w:r>
            <w:r w:rsidR="004808C1">
              <w:instrText xml:space="preserve"> PAGEREF _Toc94688280 \h </w:instrText>
            </w:r>
            <w:r w:rsidR="004808C1">
              <w:fldChar w:fldCharType="separate"/>
            </w:r>
            <w:r w:rsidR="00E06EE2">
              <w:rPr>
                <w:noProof/>
              </w:rPr>
              <w:t>5</w:t>
            </w:r>
            <w:r w:rsidR="004808C1">
              <w:fldChar w:fldCharType="end"/>
            </w:r>
          </w:hyperlink>
        </w:p>
        <w:p w14:paraId="0CBE9AB7" w14:textId="72ECD700" w:rsidR="004B5924" w:rsidRDefault="0066548D">
          <w:pPr>
            <w:pStyle w:val="TOC1"/>
            <w:rPr>
              <w:rFonts w:asciiTheme="minorHAnsi" w:eastAsiaTheme="minorEastAsia" w:hAnsiTheme="minorHAnsi" w:cstheme="minorBidi"/>
              <w:sz w:val="22"/>
              <w:szCs w:val="22"/>
              <w:lang w:val="en-US" w:eastAsia="en-US"/>
            </w:rPr>
          </w:pPr>
          <w:hyperlink w:anchor="_Toc94688281" w:history="1">
            <w:r w:rsidR="004873C7">
              <w:rPr>
                <w:rStyle w:val="Hyperlink"/>
              </w:rPr>
              <w:t xml:space="preserve">CAPITOLUL </w:t>
            </w:r>
            <w:r w:rsidR="004808C1">
              <w:rPr>
                <w:rStyle w:val="Hyperlink"/>
              </w:rPr>
              <w:t>III. ORGANIZAREA ADMITERII LA DOCTORAT</w:t>
            </w:r>
            <w:r w:rsidR="004808C1">
              <w:tab/>
            </w:r>
            <w:r w:rsidR="004808C1">
              <w:fldChar w:fldCharType="begin"/>
            </w:r>
            <w:r w:rsidR="004808C1">
              <w:instrText xml:space="preserve"> PAGEREF _Toc94688281 \h </w:instrText>
            </w:r>
            <w:r w:rsidR="004808C1">
              <w:fldChar w:fldCharType="separate"/>
            </w:r>
            <w:r w:rsidR="00E06EE2">
              <w:rPr>
                <w:noProof/>
              </w:rPr>
              <w:t>6</w:t>
            </w:r>
            <w:r w:rsidR="004808C1">
              <w:fldChar w:fldCharType="end"/>
            </w:r>
          </w:hyperlink>
        </w:p>
        <w:p w14:paraId="07422451" w14:textId="4E87BDD8" w:rsidR="004B5924" w:rsidRDefault="0066548D">
          <w:pPr>
            <w:pStyle w:val="TOC1"/>
            <w:rPr>
              <w:rFonts w:asciiTheme="minorHAnsi" w:eastAsiaTheme="minorEastAsia" w:hAnsiTheme="minorHAnsi" w:cstheme="minorBidi"/>
              <w:sz w:val="22"/>
              <w:szCs w:val="22"/>
              <w:lang w:val="en-US" w:eastAsia="en-US"/>
            </w:rPr>
          </w:pPr>
          <w:hyperlink w:anchor="_Toc94688282" w:history="1">
            <w:r w:rsidR="004873C7">
              <w:rPr>
                <w:rStyle w:val="Hyperlink"/>
              </w:rPr>
              <w:t xml:space="preserve">CAPITOLUL IV. </w:t>
            </w:r>
            <w:r w:rsidR="004808C1">
              <w:rPr>
                <w:rStyle w:val="Hyperlink"/>
              </w:rPr>
              <w:t>ÎNSCRIEREA CANDIDAŢILOR LA CONCURSUL DE ADMITERE ŞI DESFĂŞURAREA CONCURSULUI DE ADMITERE</w:t>
            </w:r>
            <w:r w:rsidR="004808C1">
              <w:tab/>
            </w:r>
            <w:r w:rsidR="004808C1">
              <w:fldChar w:fldCharType="begin"/>
            </w:r>
            <w:r w:rsidR="004808C1">
              <w:instrText xml:space="preserve"> PAGEREF _Toc94688282 \h </w:instrText>
            </w:r>
            <w:r w:rsidR="004808C1">
              <w:fldChar w:fldCharType="separate"/>
            </w:r>
            <w:r w:rsidR="00E06EE2">
              <w:rPr>
                <w:noProof/>
              </w:rPr>
              <w:t>8</w:t>
            </w:r>
            <w:r w:rsidR="004808C1">
              <w:fldChar w:fldCharType="end"/>
            </w:r>
          </w:hyperlink>
        </w:p>
        <w:p w14:paraId="0F77F5FF" w14:textId="77777777" w:rsidR="004B5924" w:rsidRDefault="0066548D">
          <w:pPr>
            <w:pStyle w:val="TOC1"/>
            <w:rPr>
              <w:rFonts w:asciiTheme="minorHAnsi" w:eastAsiaTheme="minorEastAsia" w:hAnsiTheme="minorHAnsi" w:cstheme="minorBidi"/>
              <w:sz w:val="22"/>
              <w:szCs w:val="22"/>
              <w:lang w:val="en-US" w:eastAsia="en-US"/>
            </w:rPr>
          </w:pPr>
          <w:hyperlink w:anchor="_Toc94688283" w:history="1">
            <w:r w:rsidR="004808C1">
              <w:rPr>
                <w:rStyle w:val="Hyperlink"/>
              </w:rPr>
              <w:t>CAPITOLUL V. REZULTATELE FINALE ALE ADMITERII ŞI ÎNMATRICULAREA DOCTORANZILOR</w:t>
            </w:r>
            <w:r w:rsidR="004808C1">
              <w:tab/>
            </w:r>
            <w:r w:rsidR="004808C1">
              <w:fldChar w:fldCharType="begin"/>
            </w:r>
            <w:r w:rsidR="004808C1">
              <w:instrText xml:space="preserve"> PAGEREF _Toc94688283 \h </w:instrText>
            </w:r>
            <w:r w:rsidR="004808C1">
              <w:fldChar w:fldCharType="separate"/>
            </w:r>
            <w:r w:rsidR="00E06EE2">
              <w:rPr>
                <w:noProof/>
              </w:rPr>
              <w:t>12</w:t>
            </w:r>
            <w:r w:rsidR="004808C1">
              <w:fldChar w:fldCharType="end"/>
            </w:r>
          </w:hyperlink>
        </w:p>
        <w:p w14:paraId="0824DE74" w14:textId="77777777" w:rsidR="004B5924" w:rsidRDefault="0066548D">
          <w:pPr>
            <w:pStyle w:val="TOC1"/>
            <w:rPr>
              <w:rFonts w:asciiTheme="minorHAnsi" w:eastAsiaTheme="minorEastAsia" w:hAnsiTheme="minorHAnsi" w:cstheme="minorBidi"/>
              <w:sz w:val="22"/>
              <w:szCs w:val="22"/>
              <w:lang w:val="en-US" w:eastAsia="en-US"/>
            </w:rPr>
          </w:pPr>
          <w:hyperlink w:anchor="_Toc94688284" w:history="1">
            <w:r w:rsidR="004808C1">
              <w:rPr>
                <w:rStyle w:val="Hyperlink"/>
              </w:rPr>
              <w:t>CAPITOLUL VI. DISPOZIŢII FINALE</w:t>
            </w:r>
            <w:r w:rsidR="004808C1">
              <w:tab/>
            </w:r>
            <w:r w:rsidR="004808C1">
              <w:fldChar w:fldCharType="begin"/>
            </w:r>
            <w:r w:rsidR="004808C1">
              <w:instrText xml:space="preserve"> PAGEREF _Toc94688284 \h </w:instrText>
            </w:r>
            <w:r w:rsidR="004808C1">
              <w:fldChar w:fldCharType="separate"/>
            </w:r>
            <w:r w:rsidR="00E06EE2">
              <w:rPr>
                <w:noProof/>
              </w:rPr>
              <w:t>15</w:t>
            </w:r>
            <w:r w:rsidR="004808C1">
              <w:fldChar w:fldCharType="end"/>
            </w:r>
          </w:hyperlink>
        </w:p>
        <w:p w14:paraId="0976BF11" w14:textId="77777777" w:rsidR="004B5924" w:rsidRDefault="004808C1">
          <w:r>
            <w:rPr>
              <w:b/>
              <w:bCs/>
            </w:rPr>
            <w:fldChar w:fldCharType="end"/>
          </w:r>
        </w:p>
      </w:sdtContent>
    </w:sdt>
    <w:p w14:paraId="2B8CA81F" w14:textId="77777777" w:rsidR="004B5924" w:rsidRDefault="004808C1">
      <w:pPr>
        <w:shd w:val="clear" w:color="auto" w:fill="FFFFFF" w:themeFill="background1"/>
      </w:pPr>
      <w:r>
        <w:t>Lista Anexelor:</w:t>
      </w:r>
    </w:p>
    <w:p w14:paraId="4E1A88E6" w14:textId="77777777" w:rsidR="004B5924" w:rsidRDefault="004808C1">
      <w:pPr>
        <w:shd w:val="clear" w:color="auto" w:fill="FFFFFF" w:themeFill="background1"/>
      </w:pPr>
      <w:r>
        <w:t>Anexa 1 –Fişa de înscriere</w:t>
      </w:r>
    </w:p>
    <w:p w14:paraId="6B02BF03" w14:textId="77777777" w:rsidR="004B5924" w:rsidRDefault="004808C1">
      <w:pPr>
        <w:shd w:val="clear" w:color="auto" w:fill="FFFFFF" w:themeFill="background1"/>
      </w:pPr>
      <w:r>
        <w:t>Anexa 2 – Probele concursului de admitere pentru doctorat şi criterii de departajare</w:t>
      </w:r>
    </w:p>
    <w:p w14:paraId="6366BFA9" w14:textId="77777777" w:rsidR="004B5924" w:rsidRDefault="004808C1">
      <w:pPr>
        <w:shd w:val="clear" w:color="auto" w:fill="FFFFFF" w:themeFill="background1"/>
      </w:pPr>
      <w:r>
        <w:t>Anexa 3 – Taxele de înscriere şi şcolarizare pentru doctorat</w:t>
      </w:r>
    </w:p>
    <w:p w14:paraId="77D3B40C" w14:textId="77777777" w:rsidR="004B5924" w:rsidRDefault="004808C1">
      <w:pPr>
        <w:shd w:val="clear" w:color="auto" w:fill="FFFFFF" w:themeFill="background1"/>
      </w:pPr>
      <w:r>
        <w:t>Anexa 4 – Informare privind prelucrarea informațiilor cu caracter personal</w:t>
      </w:r>
    </w:p>
    <w:p w14:paraId="0FAF21A7" w14:textId="6E1702E2" w:rsidR="004B5924" w:rsidRDefault="004808C1">
      <w:pPr>
        <w:shd w:val="clear" w:color="auto" w:fill="FFFFFF" w:themeFill="background1"/>
      </w:pPr>
      <w:r>
        <w:t xml:space="preserve">Anexa </w:t>
      </w:r>
      <w:r w:rsidR="00E06EE2">
        <w:t>5</w:t>
      </w:r>
      <w:r>
        <w:t xml:space="preserve"> – Acord de confidențialiltate</w:t>
      </w:r>
    </w:p>
    <w:p w14:paraId="4CAACFB8" w14:textId="77777777" w:rsidR="004B5924" w:rsidRDefault="004B5924">
      <w:pPr>
        <w:shd w:val="clear" w:color="auto" w:fill="FFFFFF" w:themeFill="background1"/>
      </w:pPr>
    </w:p>
    <w:p w14:paraId="4FEFADB2" w14:textId="77777777" w:rsidR="004B5924" w:rsidRDefault="004B5924">
      <w:pPr>
        <w:shd w:val="clear" w:color="auto" w:fill="FFFFFF" w:themeFill="background1"/>
      </w:pPr>
    </w:p>
    <w:p w14:paraId="38E75610" w14:textId="77777777" w:rsidR="004B5924" w:rsidRDefault="004B5924">
      <w:pPr>
        <w:shd w:val="clear" w:color="auto" w:fill="FFFFFF" w:themeFill="background1"/>
      </w:pPr>
    </w:p>
    <w:p w14:paraId="1DDD79D5" w14:textId="77777777" w:rsidR="004B5924" w:rsidRDefault="004B5924">
      <w:pPr>
        <w:shd w:val="clear" w:color="auto" w:fill="FFFFFF" w:themeFill="background1"/>
      </w:pPr>
    </w:p>
    <w:p w14:paraId="5497A7EF" w14:textId="77777777" w:rsidR="004B5924" w:rsidRDefault="004B5924">
      <w:pPr>
        <w:shd w:val="clear" w:color="auto" w:fill="FFFFFF" w:themeFill="background1"/>
      </w:pPr>
    </w:p>
    <w:p w14:paraId="59126792" w14:textId="77777777" w:rsidR="004B5924" w:rsidRDefault="004B5924">
      <w:pPr>
        <w:shd w:val="clear" w:color="auto" w:fill="FFFFFF" w:themeFill="background1"/>
      </w:pPr>
    </w:p>
    <w:p w14:paraId="321C2D86" w14:textId="77777777" w:rsidR="004B5924" w:rsidRDefault="004B5924">
      <w:pPr>
        <w:shd w:val="clear" w:color="auto" w:fill="FFFFFF" w:themeFill="background1"/>
      </w:pPr>
    </w:p>
    <w:p w14:paraId="7E0B2D37" w14:textId="77777777" w:rsidR="004B5924" w:rsidRDefault="004B5924">
      <w:pPr>
        <w:shd w:val="clear" w:color="auto" w:fill="FFFFFF" w:themeFill="background1"/>
      </w:pPr>
    </w:p>
    <w:p w14:paraId="0DD29863" w14:textId="77777777" w:rsidR="004B5924" w:rsidRDefault="004808C1">
      <w:pPr>
        <w:shd w:val="clear" w:color="auto" w:fill="FFFFFF" w:themeFill="background1"/>
      </w:pPr>
      <w:r>
        <w:br w:type="page"/>
      </w:r>
    </w:p>
    <w:p w14:paraId="632CB5C0" w14:textId="77777777" w:rsidR="004B5924" w:rsidRDefault="004808C1">
      <w:pPr>
        <w:pStyle w:val="Heading1"/>
        <w:jc w:val="both"/>
        <w:rPr>
          <w:sz w:val="28"/>
          <w:szCs w:val="28"/>
        </w:rPr>
      </w:pPr>
      <w:bookmarkStart w:id="1" w:name="_gjdgxs" w:colFirst="0" w:colLast="0"/>
      <w:bookmarkStart w:id="2" w:name="_Toc94688279"/>
      <w:bookmarkEnd w:id="1"/>
      <w:r>
        <w:rPr>
          <w:sz w:val="28"/>
          <w:szCs w:val="28"/>
        </w:rPr>
        <w:t>CAPITOLUL I. PRINCIPII GENERALE</w:t>
      </w:r>
      <w:bookmarkEnd w:id="2"/>
    </w:p>
    <w:p w14:paraId="454571E6" w14:textId="77777777" w:rsidR="004B5924" w:rsidRDefault="004B5924">
      <w:pPr>
        <w:pStyle w:val="ListParagraph"/>
        <w:numPr>
          <w:ilvl w:val="0"/>
          <w:numId w:val="2"/>
        </w:numPr>
        <w:spacing w:line="360" w:lineRule="auto"/>
        <w:ind w:left="426" w:hanging="426"/>
        <w:jc w:val="both"/>
      </w:pPr>
    </w:p>
    <w:p w14:paraId="142F54A8" w14:textId="77777777" w:rsidR="004B5924" w:rsidRDefault="004808C1">
      <w:pPr>
        <w:numPr>
          <w:ilvl w:val="0"/>
          <w:numId w:val="3"/>
        </w:numPr>
        <w:tabs>
          <w:tab w:val="left" w:pos="426"/>
        </w:tabs>
        <w:spacing w:line="360" w:lineRule="auto"/>
        <w:ind w:left="0" w:firstLine="0"/>
        <w:jc w:val="both"/>
      </w:pPr>
      <w:r>
        <w:t>Universitatea „Alexandru Ioan Cuza” din Iaşi este Instituţie Organizatoare de Studii Universitare de Doctorat, numită în continuare IOSUD - UAIC. Studiile universitare de doctorat sunt organizate în școlile doctorale care funcţionează în cadrul IOSUD-UAIC.</w:t>
      </w:r>
    </w:p>
    <w:p w14:paraId="76CF6B2C" w14:textId="77777777" w:rsidR="004B5924" w:rsidRDefault="004808C1">
      <w:pPr>
        <w:numPr>
          <w:ilvl w:val="0"/>
          <w:numId w:val="3"/>
        </w:numPr>
        <w:tabs>
          <w:tab w:val="left" w:pos="426"/>
        </w:tabs>
        <w:spacing w:line="360" w:lineRule="auto"/>
        <w:ind w:left="0" w:firstLine="0"/>
        <w:jc w:val="both"/>
      </w:pPr>
      <w:r>
        <w:t>Procedura de admitere la studii universitare de doctorat include etapele de selecţie a candidaţilor pentru poziţiile vacante de student doctorand pe care Școlile doctorale le propun spre ocupare.</w:t>
      </w:r>
    </w:p>
    <w:p w14:paraId="4D100CE9" w14:textId="62125AB1" w:rsidR="00F81F52" w:rsidRDefault="00F81F52">
      <w:pPr>
        <w:numPr>
          <w:ilvl w:val="0"/>
          <w:numId w:val="3"/>
        </w:numPr>
        <w:tabs>
          <w:tab w:val="left" w:pos="426"/>
        </w:tabs>
        <w:spacing w:line="360" w:lineRule="auto"/>
        <w:ind w:left="0" w:firstLine="0"/>
        <w:jc w:val="both"/>
      </w:pPr>
      <w:r>
        <w:t>Admiterea la studii universitare de doctorat se face prin concurs, organizat în una sau două sesiuni,</w:t>
      </w:r>
      <w:r w:rsidRPr="00F81F52">
        <w:t xml:space="preserve"> în lunile iulie </w:t>
      </w:r>
      <w:r w:rsidRPr="00F81F52">
        <w:rPr>
          <w:lang w:val="ro-MD"/>
        </w:rPr>
        <w:t>și</w:t>
      </w:r>
      <w:r w:rsidRPr="00F81F52">
        <w:t xml:space="preserve"> septembrie, </w:t>
      </w:r>
      <w:r>
        <w:t>înainte de începerea anului universitar. Probele de concurs se susțin de către candidați în fața unei comisii de admitere propusă de Consiliile școlilor doctorale (CSD) și aprobată de Consiliul pentru Studiile Universitare de Doctorat (CSUD).</w:t>
      </w:r>
    </w:p>
    <w:p w14:paraId="1957414A" w14:textId="77777777" w:rsidR="004B5924" w:rsidRDefault="004808C1">
      <w:pPr>
        <w:numPr>
          <w:ilvl w:val="0"/>
          <w:numId w:val="3"/>
        </w:numPr>
        <w:tabs>
          <w:tab w:val="left" w:pos="426"/>
        </w:tabs>
        <w:spacing w:line="360" w:lineRule="auto"/>
        <w:ind w:left="0" w:firstLine="0"/>
        <w:jc w:val="both"/>
      </w:pPr>
      <w:r>
        <w:rPr>
          <w:rFonts w:eastAsia="Trebuchet MS"/>
        </w:rPr>
        <w:t xml:space="preserve">Un candidat declarat admis poate beneficia de finanţare de la buget o singură dată pentru ciclul de studii universitare de doctorat. </w:t>
      </w:r>
      <w:r>
        <w:rPr>
          <w:rFonts w:eastAsia="Trebuchet MS"/>
          <w:b/>
        </w:rPr>
        <w:t xml:space="preserve">Candidaţii care au fost exmatriculaţi de la studii universitare de doctorat au dreptul să se înscrie la un nou concurs de admitere numai pe locurile cu taxă, indiferent de forma de învăţământ.  </w:t>
      </w:r>
      <w:r>
        <w:rPr>
          <w:rFonts w:eastAsia="Trebuchet MS"/>
        </w:rPr>
        <w:t xml:space="preserve">Ei au obligaţia ca, la înscriere, să declare în scris, sub semnătură, dacă au mai urmat ciclul de studii de doctorat. </w:t>
      </w:r>
      <w:r>
        <w:rPr>
          <w:rFonts w:eastAsia="Trebuchet MS"/>
          <w:b/>
        </w:rPr>
        <w:t>Declaraţiile false atrag eliminarea din concursul de admitere şi aplicarea dispozițiilor prevăzute în Codul Penal</w:t>
      </w:r>
      <w:r>
        <w:rPr>
          <w:rFonts w:eastAsia="Trebuchet MS"/>
        </w:rPr>
        <w:t xml:space="preserve">. </w:t>
      </w:r>
    </w:p>
    <w:p w14:paraId="4370840E" w14:textId="77777777" w:rsidR="004B5924" w:rsidRDefault="004B5924">
      <w:pPr>
        <w:pStyle w:val="ListParagraph"/>
        <w:numPr>
          <w:ilvl w:val="0"/>
          <w:numId w:val="2"/>
        </w:numPr>
        <w:spacing w:line="360" w:lineRule="auto"/>
        <w:ind w:left="426" w:hanging="426"/>
        <w:jc w:val="both"/>
      </w:pPr>
    </w:p>
    <w:p w14:paraId="4E86F490" w14:textId="10EA5EE8" w:rsidR="004B5924" w:rsidRDefault="004808C1">
      <w:pPr>
        <w:numPr>
          <w:ilvl w:val="0"/>
          <w:numId w:val="4"/>
        </w:numPr>
        <w:tabs>
          <w:tab w:val="left" w:pos="426"/>
        </w:tabs>
        <w:spacing w:line="360" w:lineRule="auto"/>
        <w:ind w:left="0" w:firstLine="0"/>
        <w:jc w:val="both"/>
      </w:pPr>
      <w:r>
        <w:t xml:space="preserve">Numărul locurilor finanţate de la buget, pentru fiecare domeniu de doctorat, pentru anul </w:t>
      </w:r>
      <w:r w:rsidRPr="009F39BE">
        <w:t>universitar 202</w:t>
      </w:r>
      <w:r w:rsidR="00DF083D" w:rsidRPr="009F39BE">
        <w:t>4</w:t>
      </w:r>
      <w:r w:rsidRPr="009F39BE">
        <w:t>-202</w:t>
      </w:r>
      <w:r w:rsidR="00DF083D" w:rsidRPr="009F39BE">
        <w:t>5</w:t>
      </w:r>
      <w:r w:rsidRPr="009F39BE">
        <w:t xml:space="preserve"> </w:t>
      </w:r>
      <w:r>
        <w:t>va fi repartizat Școlilor doctorale de către Consiliul de Administrație în funcţie de numărul de locuri alocate IOSUD-UAIC prin Ordinul Ministrului Educaţiei. Numărul de locuri în regim cu taxă este fixat prin hotărâre a Senatului UAIC.</w:t>
      </w:r>
    </w:p>
    <w:p w14:paraId="2A610C3C" w14:textId="7DA4536D" w:rsidR="004B5924" w:rsidRDefault="004808C1">
      <w:pPr>
        <w:numPr>
          <w:ilvl w:val="0"/>
          <w:numId w:val="4"/>
        </w:numPr>
        <w:tabs>
          <w:tab w:val="left" w:pos="426"/>
        </w:tabs>
        <w:spacing w:line="360" w:lineRule="auto"/>
        <w:ind w:left="0" w:firstLine="0"/>
        <w:jc w:val="both"/>
      </w:pPr>
      <w:r>
        <w:t xml:space="preserve">Consiliile școlilor doctorale stabilesc locurile disponibile pentru admiterea la doctorat în cazul fiecărui conducător de doctorat din Școala doctorală respectivă, respectând </w:t>
      </w:r>
      <w:r w:rsidR="000262D4">
        <w:t xml:space="preserve">legislația în vigoare, </w:t>
      </w:r>
      <w:r>
        <w:t>regulamentul UAIC şi propunerile conducătorilor de doctorat.</w:t>
      </w:r>
    </w:p>
    <w:p w14:paraId="681F1E0E" w14:textId="77777777" w:rsidR="004B5924" w:rsidRDefault="004B5924">
      <w:pPr>
        <w:pStyle w:val="ListParagraph"/>
        <w:numPr>
          <w:ilvl w:val="0"/>
          <w:numId w:val="2"/>
        </w:numPr>
        <w:spacing w:line="360" w:lineRule="auto"/>
        <w:ind w:left="426" w:hanging="426"/>
        <w:jc w:val="both"/>
        <w:rPr>
          <w:rStyle w:val="sttalineat"/>
          <w:b/>
        </w:rPr>
      </w:pPr>
    </w:p>
    <w:p w14:paraId="0CD0EB23" w14:textId="77777777" w:rsidR="004B5924" w:rsidRDefault="004808C1">
      <w:pPr>
        <w:numPr>
          <w:ilvl w:val="0"/>
          <w:numId w:val="5"/>
        </w:numPr>
        <w:tabs>
          <w:tab w:val="left" w:pos="426"/>
        </w:tabs>
        <w:spacing w:line="360" w:lineRule="auto"/>
        <w:ind w:left="0" w:firstLine="0"/>
        <w:jc w:val="both"/>
        <w:rPr>
          <w:color w:val="000000"/>
        </w:rPr>
      </w:pPr>
      <w:r>
        <w:rPr>
          <w:rStyle w:val="sttalineat"/>
        </w:rPr>
        <w:t xml:space="preserve">La admiterea </w:t>
      </w:r>
      <w:r>
        <w:t xml:space="preserve">în ciclul de studii universitare de doctorat </w:t>
      </w:r>
      <w:r>
        <w:rPr>
          <w:rStyle w:val="sttalineat"/>
        </w:rPr>
        <w:t xml:space="preserve">pot candida şi cetăţenii statelor membre ale Uniunii Europene (UE), ai statelor aparţinând Spaţiului Economic European (SEE) şi ai Confederaţiei Elveţiene (CH), în aceleaşi condiţii prevăzute de lege pentru cetăţenii români, inclusiv în ceea ce priveşte taxele de şcolarizare. </w:t>
      </w:r>
      <w:r>
        <w:rPr>
          <w:rStyle w:val="sttalineat"/>
          <w:color w:val="000000"/>
        </w:rPr>
        <w:t xml:space="preserve">Recunoașterea studiilor efectuate de către aceştia în afara României se va realiza de către Centrul Național de Recunoaștere și Echivalare a Diplomelor - CNRED, din cadrul Ministerului Educaţiei. Informațiile privind actele necesare și modalitatea de recunoaștere a studiilor în vederea admiterii la studii universitare de doctorat se găsesc pe adresa </w:t>
      </w:r>
      <w:hyperlink r:id="rId15" w:history="1">
        <w:r>
          <w:rPr>
            <w:rStyle w:val="Hyperlink"/>
          </w:rPr>
          <w:t>www.cnred.edu.ro</w:t>
        </w:r>
      </w:hyperlink>
      <w:r>
        <w:rPr>
          <w:rStyle w:val="sttalineat"/>
          <w:color w:val="000000"/>
        </w:rPr>
        <w:t xml:space="preserve"> .</w:t>
      </w:r>
    </w:p>
    <w:p w14:paraId="45D94E58" w14:textId="60EAE313" w:rsidR="004B5924" w:rsidRPr="009F39BE" w:rsidRDefault="004808C1" w:rsidP="00FD4617">
      <w:pPr>
        <w:numPr>
          <w:ilvl w:val="0"/>
          <w:numId w:val="5"/>
        </w:numPr>
        <w:tabs>
          <w:tab w:val="left" w:pos="426"/>
        </w:tabs>
        <w:spacing w:line="360" w:lineRule="auto"/>
        <w:ind w:left="0" w:firstLine="0"/>
        <w:jc w:val="both"/>
      </w:pPr>
      <w:r>
        <w:rPr>
          <w:color w:val="000000"/>
        </w:rPr>
        <w:t xml:space="preserve">Admiterea la studii universitare de doctorat și şcolarizarea </w:t>
      </w:r>
      <w:r>
        <w:rPr>
          <w:rStyle w:val="Strong"/>
          <w:b w:val="0"/>
          <w:color w:val="000000"/>
        </w:rPr>
        <w:t xml:space="preserve">cetăţenilor străini din state terţe UE </w:t>
      </w:r>
      <w:r>
        <w:rPr>
          <w:color w:val="000000"/>
        </w:rPr>
        <w:t xml:space="preserve">se </w:t>
      </w:r>
      <w:r w:rsidRPr="009F39BE">
        <w:t xml:space="preserve">face </w:t>
      </w:r>
      <w:r w:rsidR="00FD4617" w:rsidRPr="009F39BE">
        <w:t xml:space="preserve">în baza metodologiilor special elaborate de Ministerul </w:t>
      </w:r>
      <w:r w:rsidR="00FD4617" w:rsidRPr="009F39BE">
        <w:rPr>
          <w:rStyle w:val="sttalineat"/>
        </w:rPr>
        <w:t>Educaţiei</w:t>
      </w:r>
      <w:r w:rsidR="00FD4617" w:rsidRPr="009F39BE">
        <w:rPr>
          <w:lang w:eastAsia="en-US"/>
        </w:rPr>
        <w:t>.</w:t>
      </w:r>
    </w:p>
    <w:p w14:paraId="3C9F5B63" w14:textId="1F08C2E6" w:rsidR="004B5924" w:rsidRPr="009F39BE" w:rsidRDefault="004808C1">
      <w:pPr>
        <w:numPr>
          <w:ilvl w:val="0"/>
          <w:numId w:val="5"/>
        </w:numPr>
        <w:tabs>
          <w:tab w:val="left" w:pos="426"/>
        </w:tabs>
        <w:spacing w:line="360" w:lineRule="auto"/>
        <w:ind w:left="0" w:firstLine="0"/>
        <w:jc w:val="both"/>
      </w:pPr>
      <w:r w:rsidRPr="009F39BE">
        <w:t xml:space="preserve">Cetăţenii străini de etnie română („români de pretutindeni”) vor fi admişi în urma concursului de admitere organizat </w:t>
      </w:r>
      <w:r w:rsidR="00FD4617" w:rsidRPr="009F39BE">
        <w:t>în baza metodologi</w:t>
      </w:r>
      <w:r w:rsidRPr="009F39BE">
        <w:t>i</w:t>
      </w:r>
      <w:r w:rsidR="00FD4617" w:rsidRPr="009F39BE">
        <w:t>lor</w:t>
      </w:r>
      <w:r w:rsidRPr="009F39BE">
        <w:t xml:space="preserve"> specifice aprobate de Ministerul </w:t>
      </w:r>
      <w:r w:rsidRPr="009F39BE">
        <w:rPr>
          <w:rStyle w:val="sttalineat"/>
        </w:rPr>
        <w:t>Educaţiei</w:t>
      </w:r>
      <w:r w:rsidRPr="009F39BE">
        <w:rPr>
          <w:lang w:eastAsia="en-US"/>
        </w:rPr>
        <w:t>.</w:t>
      </w:r>
      <w:r w:rsidR="00614645" w:rsidRPr="009F39BE">
        <w:rPr>
          <w:lang w:eastAsia="en-US"/>
        </w:rPr>
        <w:t xml:space="preserve"> Înscrierea și admiterea vor avea loc la școlile doctorale. </w:t>
      </w:r>
    </w:p>
    <w:p w14:paraId="4881C180" w14:textId="328E1EE3" w:rsidR="004B5924" w:rsidRPr="009F39BE" w:rsidRDefault="004808C1">
      <w:pPr>
        <w:numPr>
          <w:ilvl w:val="0"/>
          <w:numId w:val="5"/>
        </w:numPr>
        <w:tabs>
          <w:tab w:val="left" w:pos="426"/>
        </w:tabs>
        <w:spacing w:line="360" w:lineRule="auto"/>
        <w:ind w:left="0" w:firstLine="0"/>
        <w:jc w:val="both"/>
      </w:pPr>
      <w:r>
        <w:t xml:space="preserve">La admiterea în ciclul de studii universitare de doctorat cu predare în limba română, cetăţenii străini care nu au urmat studii liceale/de licență în limba română, certificate prin diplome/suplimente la diplomă au obligaţia să prezinte un certificat de competenţă lingvistică pentru limba română eliberat de către instituţii abilitate de Ministerul </w:t>
      </w:r>
      <w:r>
        <w:rPr>
          <w:rStyle w:val="sttalineat"/>
        </w:rPr>
        <w:t>Educaţiei</w:t>
      </w:r>
      <w:r w:rsidR="00614645">
        <w:rPr>
          <w:lang w:eastAsia="en-US"/>
        </w:rPr>
        <w:t xml:space="preserve">, </w:t>
      </w:r>
      <w:r w:rsidR="00614645" w:rsidRPr="009F39BE">
        <w:rPr>
          <w:lang w:eastAsia="en-US"/>
        </w:rPr>
        <w:t>acceptate de UAIC.</w:t>
      </w:r>
    </w:p>
    <w:p w14:paraId="34E931DA" w14:textId="77777777" w:rsidR="004B5924" w:rsidRDefault="004808C1">
      <w:pPr>
        <w:numPr>
          <w:ilvl w:val="0"/>
          <w:numId w:val="5"/>
        </w:numPr>
        <w:tabs>
          <w:tab w:val="left" w:pos="426"/>
        </w:tabs>
        <w:spacing w:line="360" w:lineRule="auto"/>
        <w:ind w:left="0" w:firstLine="0"/>
        <w:jc w:val="both"/>
      </w:pPr>
      <w:r>
        <w:t xml:space="preserve">Orice prevedere transmisă de Ministerul </w:t>
      </w:r>
      <w:r>
        <w:rPr>
          <w:rStyle w:val="sttalineat"/>
        </w:rPr>
        <w:t xml:space="preserve">Educaţiei </w:t>
      </w:r>
      <w:r>
        <w:t>sau aprobată de Senatul Universităţii, cu privire la admiterea la doctorat, va fi adusă la cunoştinţa Școlilor Doctorale.</w:t>
      </w:r>
    </w:p>
    <w:p w14:paraId="712A56AD" w14:textId="77777777" w:rsidR="004B5924" w:rsidRPr="009F39BE" w:rsidRDefault="004808C1">
      <w:pPr>
        <w:pStyle w:val="Heading1"/>
        <w:spacing w:before="240" w:after="240"/>
        <w:jc w:val="both"/>
        <w:rPr>
          <w:sz w:val="28"/>
          <w:szCs w:val="28"/>
        </w:rPr>
      </w:pPr>
      <w:bookmarkStart w:id="3" w:name="_Toc94688280"/>
      <w:r>
        <w:rPr>
          <w:sz w:val="28"/>
          <w:szCs w:val="28"/>
        </w:rPr>
        <w:t>CAPITOLUL II. DOCUMENTE DE REFERINȚĂ</w:t>
      </w:r>
      <w:bookmarkEnd w:id="3"/>
    </w:p>
    <w:p w14:paraId="004C2CED" w14:textId="46B4BAB0" w:rsidR="004B5924" w:rsidRPr="009F39BE" w:rsidRDefault="004808C1">
      <w:pPr>
        <w:pStyle w:val="ListParagraph"/>
        <w:numPr>
          <w:ilvl w:val="0"/>
          <w:numId w:val="2"/>
        </w:numPr>
        <w:spacing w:line="360" w:lineRule="auto"/>
        <w:ind w:left="0" w:firstLine="0"/>
        <w:jc w:val="both"/>
        <w:rPr>
          <w:rStyle w:val="Strong"/>
          <w:bCs w:val="0"/>
        </w:rPr>
      </w:pPr>
      <w:r w:rsidRPr="009F39BE">
        <w:rPr>
          <w:rStyle w:val="Strong"/>
          <w:b w:val="0"/>
          <w:bCs w:val="0"/>
        </w:rPr>
        <w:t>Admiterea la studii universitare de doctorat pentru anul universitar 202</w:t>
      </w:r>
      <w:r w:rsidR="00966624" w:rsidRPr="009F39BE">
        <w:rPr>
          <w:rStyle w:val="Strong"/>
          <w:b w:val="0"/>
          <w:bCs w:val="0"/>
        </w:rPr>
        <w:t>4</w:t>
      </w:r>
      <w:r w:rsidRPr="009F39BE">
        <w:rPr>
          <w:rStyle w:val="Strong"/>
          <w:b w:val="0"/>
          <w:bCs w:val="0"/>
        </w:rPr>
        <w:t>-202</w:t>
      </w:r>
      <w:r w:rsidR="00966624" w:rsidRPr="009F39BE">
        <w:rPr>
          <w:rStyle w:val="Strong"/>
          <w:b w:val="0"/>
          <w:bCs w:val="0"/>
        </w:rPr>
        <w:t>5</w:t>
      </w:r>
      <w:r w:rsidRPr="009F39BE">
        <w:rPr>
          <w:rStyle w:val="Strong"/>
          <w:b w:val="0"/>
          <w:bCs w:val="0"/>
        </w:rPr>
        <w:t xml:space="preserve"> se face în conformitate cu următoarele acte normative: </w:t>
      </w:r>
    </w:p>
    <w:p w14:paraId="0564402A" w14:textId="5BD3F08C" w:rsidR="004B5924" w:rsidRPr="009F39BE" w:rsidRDefault="004808C1">
      <w:pPr>
        <w:numPr>
          <w:ilvl w:val="0"/>
          <w:numId w:val="6"/>
        </w:numPr>
        <w:shd w:val="clear" w:color="auto" w:fill="FFFFFF"/>
        <w:tabs>
          <w:tab w:val="left" w:pos="426"/>
        </w:tabs>
        <w:spacing w:line="360" w:lineRule="auto"/>
        <w:ind w:firstLine="0"/>
        <w:jc w:val="both"/>
      </w:pPr>
      <w:r w:rsidRPr="009F39BE">
        <w:rPr>
          <w:rStyle w:val="Strong"/>
          <w:b w:val="0"/>
          <w:bCs w:val="0"/>
          <w:i/>
        </w:rPr>
        <w:t xml:space="preserve">Legea nr. </w:t>
      </w:r>
      <w:r w:rsidR="00966624" w:rsidRPr="009F39BE">
        <w:rPr>
          <w:rStyle w:val="Strong"/>
          <w:b w:val="0"/>
          <w:bCs w:val="0"/>
          <w:i/>
        </w:rPr>
        <w:t>199</w:t>
      </w:r>
      <w:r w:rsidRPr="009F39BE">
        <w:rPr>
          <w:rStyle w:val="Strong"/>
          <w:b w:val="0"/>
          <w:bCs w:val="0"/>
          <w:i/>
        </w:rPr>
        <w:t>/20</w:t>
      </w:r>
      <w:r w:rsidR="00966624" w:rsidRPr="009F39BE">
        <w:rPr>
          <w:rStyle w:val="Strong"/>
          <w:b w:val="0"/>
          <w:bCs w:val="0"/>
          <w:i/>
        </w:rPr>
        <w:t>23</w:t>
      </w:r>
      <w:r w:rsidRPr="009F39BE">
        <w:rPr>
          <w:rStyle w:val="Strong"/>
          <w:b w:val="0"/>
          <w:bCs w:val="0"/>
        </w:rPr>
        <w:t xml:space="preserve"> a </w:t>
      </w:r>
      <w:r w:rsidR="00966624" w:rsidRPr="009F39BE">
        <w:rPr>
          <w:rStyle w:val="Strong"/>
          <w:b w:val="0"/>
          <w:bCs w:val="0"/>
        </w:rPr>
        <w:t>învățământului superior</w:t>
      </w:r>
      <w:r w:rsidRPr="009F39BE">
        <w:t xml:space="preserve">, cu modificările şi completările ulterioare; </w:t>
      </w:r>
    </w:p>
    <w:p w14:paraId="43771E4C" w14:textId="5D78037A" w:rsidR="004B5924" w:rsidRPr="009F39BE" w:rsidRDefault="00D04609">
      <w:pPr>
        <w:numPr>
          <w:ilvl w:val="0"/>
          <w:numId w:val="6"/>
        </w:numPr>
        <w:shd w:val="clear" w:color="auto" w:fill="FFFFFF"/>
        <w:tabs>
          <w:tab w:val="left" w:pos="426"/>
        </w:tabs>
        <w:spacing w:line="360" w:lineRule="auto"/>
        <w:ind w:firstLine="0"/>
        <w:jc w:val="both"/>
      </w:pPr>
      <w:r w:rsidRPr="009F39BE">
        <w:rPr>
          <w:rFonts w:eastAsia="Trebuchet MS"/>
          <w:i/>
        </w:rPr>
        <w:t xml:space="preserve">OM 6072/31.08.2023 </w:t>
      </w:r>
      <w:r w:rsidRPr="009F39BE">
        <w:rPr>
          <w:rFonts w:eastAsia="Trebuchet MS"/>
        </w:rPr>
        <w:t>privind aprobarea unor măsuri tranzitorii aplicabile la nivelul sistemului național de învățământ preuniversitar și superior</w:t>
      </w:r>
      <w:r w:rsidR="004808C1" w:rsidRPr="009F39BE">
        <w:rPr>
          <w:rFonts w:eastAsia="Trebuchet MS"/>
        </w:rPr>
        <w:t>;</w:t>
      </w:r>
    </w:p>
    <w:p w14:paraId="4BD214C3" w14:textId="77777777" w:rsidR="004B5924" w:rsidRDefault="004808C1">
      <w:pPr>
        <w:numPr>
          <w:ilvl w:val="0"/>
          <w:numId w:val="6"/>
        </w:numPr>
        <w:shd w:val="clear" w:color="auto" w:fill="FFFFFF"/>
        <w:tabs>
          <w:tab w:val="left" w:pos="426"/>
        </w:tabs>
        <w:spacing w:line="360" w:lineRule="auto"/>
        <w:ind w:firstLine="0"/>
        <w:jc w:val="both"/>
      </w:pPr>
      <w:r>
        <w:rPr>
          <w:i/>
        </w:rPr>
        <w:t>Carta Universităţii</w:t>
      </w:r>
      <w:r>
        <w:t xml:space="preserve"> „Alexandru Ioan Cuza” din Iaşi</w:t>
      </w:r>
      <w:r>
        <w:rPr>
          <w:color w:val="000000"/>
        </w:rPr>
        <w:t>;</w:t>
      </w:r>
    </w:p>
    <w:p w14:paraId="45E23699" w14:textId="77777777" w:rsidR="004B5924" w:rsidRDefault="004808C1">
      <w:pPr>
        <w:numPr>
          <w:ilvl w:val="0"/>
          <w:numId w:val="6"/>
        </w:numPr>
        <w:shd w:val="clear" w:color="auto" w:fill="FFFFFF"/>
        <w:tabs>
          <w:tab w:val="left" w:pos="426"/>
        </w:tabs>
        <w:spacing w:line="360" w:lineRule="auto"/>
        <w:ind w:firstLine="0"/>
        <w:jc w:val="both"/>
      </w:pPr>
      <w:r>
        <w:rPr>
          <w:i/>
          <w:color w:val="000000"/>
        </w:rPr>
        <w:t>Regulamentul instituțional de organizare și funcționare a  studiilor universitare de doctorat al UAIC</w:t>
      </w:r>
      <w:r>
        <w:rPr>
          <w:i/>
        </w:rPr>
        <w:t>;</w:t>
      </w:r>
    </w:p>
    <w:p w14:paraId="6083FB27" w14:textId="77777777" w:rsidR="004B5924" w:rsidRDefault="004808C1">
      <w:pPr>
        <w:numPr>
          <w:ilvl w:val="0"/>
          <w:numId w:val="6"/>
        </w:numPr>
        <w:shd w:val="clear" w:color="auto" w:fill="FFFFFF"/>
        <w:tabs>
          <w:tab w:val="left" w:pos="426"/>
        </w:tabs>
        <w:spacing w:line="360" w:lineRule="auto"/>
        <w:ind w:firstLine="0"/>
        <w:jc w:val="both"/>
      </w:pPr>
      <w:r>
        <w:rPr>
          <w:color w:val="000000"/>
        </w:rPr>
        <w:t>Regulamentul Uniunii Europene 679/2016 privind protecția persoanelor fizice în ceea ce privește prelucrarea datelor cu caracter personal și privind libera circulație a acestor date și</w:t>
      </w:r>
      <w:r>
        <w:t xml:space="preserve"> de abrogarea a Directivei 95/46/CE (Regulamentul general privind protecția datelor).</w:t>
      </w:r>
    </w:p>
    <w:p w14:paraId="4246FF0E" w14:textId="7AB861F3" w:rsidR="004B5924" w:rsidRDefault="004808C1">
      <w:pPr>
        <w:numPr>
          <w:ilvl w:val="0"/>
          <w:numId w:val="6"/>
        </w:numPr>
        <w:shd w:val="clear" w:color="auto" w:fill="FFFFFF"/>
        <w:tabs>
          <w:tab w:val="left" w:pos="426"/>
        </w:tabs>
        <w:spacing w:line="360" w:lineRule="auto"/>
        <w:ind w:firstLine="0"/>
        <w:jc w:val="both"/>
      </w:pPr>
      <w:r>
        <w:t>Legea nr. 448/2006 privind protecția și promovarea drepturilor persoanelor cu handicap, republicată, cu modificările și completările ulterioare</w:t>
      </w:r>
      <w:r w:rsidR="00AE52F9">
        <w:t>.</w:t>
      </w:r>
    </w:p>
    <w:p w14:paraId="38B3878A" w14:textId="0E92B0A0" w:rsidR="004B5924" w:rsidRPr="009F39BE" w:rsidRDefault="004808C1">
      <w:pPr>
        <w:numPr>
          <w:ilvl w:val="0"/>
          <w:numId w:val="6"/>
        </w:numPr>
        <w:shd w:val="clear" w:color="auto" w:fill="FFFFFF"/>
        <w:tabs>
          <w:tab w:val="left" w:pos="426"/>
        </w:tabs>
        <w:spacing w:line="360" w:lineRule="auto"/>
        <w:ind w:firstLine="0"/>
        <w:jc w:val="both"/>
      </w:pPr>
      <w:r>
        <w:t>Ordonanța de Urgență nr. 133/2000 privind învățămânul universitar și postuniversitar de stat cu taxă pentru locurile finanțate de bugetul de stat, aprobată cu modificări prin Legea nr 441/2001 cu modificările ulterioare</w:t>
      </w:r>
      <w:r w:rsidR="00AE52F9">
        <w:t>.</w:t>
      </w:r>
    </w:p>
    <w:p w14:paraId="5A638F99" w14:textId="2C8E9BA7" w:rsidR="004B5924" w:rsidRPr="009F39BE" w:rsidRDefault="004808C1">
      <w:pPr>
        <w:numPr>
          <w:ilvl w:val="0"/>
          <w:numId w:val="6"/>
        </w:numPr>
        <w:shd w:val="clear" w:color="auto" w:fill="FFFFFF"/>
        <w:tabs>
          <w:tab w:val="left" w:pos="426"/>
        </w:tabs>
        <w:spacing w:line="360" w:lineRule="auto"/>
        <w:ind w:firstLine="0"/>
        <w:jc w:val="both"/>
      </w:pPr>
      <w:r w:rsidRPr="009F39BE">
        <w:t>Hotărârea de Guvern nr.</w:t>
      </w:r>
      <w:r w:rsidR="00AE52F9" w:rsidRPr="009F39BE">
        <w:t>367</w:t>
      </w:r>
      <w:r w:rsidRPr="009F39BE">
        <w:t xml:space="preserve"> din </w:t>
      </w:r>
      <w:r w:rsidR="00AE52F9" w:rsidRPr="009F39BE">
        <w:t>2023</w:t>
      </w:r>
      <w:r w:rsidRPr="009F39BE">
        <w:t xml:space="preserve"> privind aprobarea Nomenclatorului domeniilor și al specializărilor/programelor de studii universitare și a structurii instituțiilor de învățământ superior pentru anul universitar 202</w:t>
      </w:r>
      <w:r w:rsidR="00AE52F9" w:rsidRPr="009F39BE">
        <w:t>3</w:t>
      </w:r>
      <w:r w:rsidR="00DE4281" w:rsidRPr="009F39BE">
        <w:t>-2</w:t>
      </w:r>
      <w:r w:rsidRPr="009F39BE">
        <w:t>02</w:t>
      </w:r>
      <w:r w:rsidR="00AE52F9" w:rsidRPr="009F39BE">
        <w:t>4</w:t>
      </w:r>
      <w:r w:rsidRPr="009F39BE">
        <w:t>, cu modificările și completările ulterioare</w:t>
      </w:r>
      <w:r w:rsidR="00AE52F9" w:rsidRPr="009F39BE">
        <w:t>.</w:t>
      </w:r>
    </w:p>
    <w:p w14:paraId="3888D1F3" w14:textId="75F631FA" w:rsidR="004B5924" w:rsidRDefault="004808C1">
      <w:pPr>
        <w:numPr>
          <w:ilvl w:val="0"/>
          <w:numId w:val="6"/>
        </w:numPr>
        <w:shd w:val="clear" w:color="auto" w:fill="FFFFFF"/>
        <w:tabs>
          <w:tab w:val="left" w:pos="426"/>
        </w:tabs>
        <w:spacing w:line="360" w:lineRule="auto"/>
        <w:ind w:firstLine="0"/>
        <w:jc w:val="both"/>
      </w:pPr>
      <w:r>
        <w:t>OME nr. 3102 din 8 februarie 2022 pentru aprobarea Regulamentului-cadru privind organizarea admiterii în ciclurile de studii universitare de licență, de master și de doctorat, cu modificările și completările ulterioare</w:t>
      </w:r>
      <w:r w:rsidR="00AE52F9">
        <w:t>.</w:t>
      </w:r>
    </w:p>
    <w:p w14:paraId="73EB2A4C" w14:textId="77777777" w:rsidR="004B5924" w:rsidRDefault="004808C1">
      <w:pPr>
        <w:numPr>
          <w:ilvl w:val="0"/>
          <w:numId w:val="6"/>
        </w:numPr>
        <w:shd w:val="clear" w:color="auto" w:fill="FFFFFF"/>
        <w:tabs>
          <w:tab w:val="left" w:pos="426"/>
        </w:tabs>
        <w:spacing w:line="360" w:lineRule="auto"/>
        <w:ind w:firstLine="0"/>
        <w:jc w:val="both"/>
      </w:pPr>
      <w:r>
        <w:t>Ordonanța de urgență a Guvernului nr. 41/2016 privind stabilirea unor măsuri de simplificare la nivelul administrației publice centrale și pentru modificarea și completarea unor acte normative, cu modificările și completările ulterioare.</w:t>
      </w:r>
    </w:p>
    <w:p w14:paraId="0713F234" w14:textId="74658A09" w:rsidR="0024013F" w:rsidRDefault="0024013F">
      <w:pPr>
        <w:numPr>
          <w:ilvl w:val="0"/>
          <w:numId w:val="6"/>
        </w:numPr>
        <w:shd w:val="clear" w:color="auto" w:fill="FFFFFF"/>
        <w:tabs>
          <w:tab w:val="left" w:pos="426"/>
        </w:tabs>
        <w:spacing w:line="360" w:lineRule="auto"/>
        <w:ind w:firstLine="0"/>
        <w:jc w:val="both"/>
      </w:pPr>
      <w:r>
        <w:t>Adresa 25/DGIU/25/01/2021 a MEC.</w:t>
      </w:r>
    </w:p>
    <w:p w14:paraId="1FC28957" w14:textId="77777777" w:rsidR="004B5924" w:rsidRDefault="004808C1">
      <w:pPr>
        <w:numPr>
          <w:ilvl w:val="0"/>
          <w:numId w:val="6"/>
        </w:numPr>
        <w:shd w:val="clear" w:color="auto" w:fill="FFFFFF"/>
        <w:tabs>
          <w:tab w:val="left" w:pos="426"/>
        </w:tabs>
        <w:spacing w:line="360" w:lineRule="auto"/>
        <w:ind w:firstLine="0"/>
        <w:jc w:val="both"/>
      </w:pPr>
      <w:r>
        <w:t>HBECA nr. 10 din 16.11.2022 privind locuri EC2U.</w:t>
      </w:r>
    </w:p>
    <w:p w14:paraId="051B9F75" w14:textId="77777777" w:rsidR="004B5924" w:rsidRDefault="004808C1">
      <w:pPr>
        <w:pStyle w:val="Heading1"/>
        <w:spacing w:before="360" w:after="240"/>
        <w:jc w:val="both"/>
        <w:rPr>
          <w:sz w:val="28"/>
          <w:szCs w:val="28"/>
        </w:rPr>
      </w:pPr>
      <w:bookmarkStart w:id="4" w:name="_Toc94688281"/>
      <w:r>
        <w:rPr>
          <w:sz w:val="28"/>
          <w:szCs w:val="28"/>
        </w:rPr>
        <w:t>CAPITOLUL III. ORGANIZAREA ADMITERII LA DOCTORAT</w:t>
      </w:r>
      <w:bookmarkEnd w:id="4"/>
    </w:p>
    <w:p w14:paraId="293A9A64" w14:textId="639FAA3C" w:rsidR="008438CF" w:rsidRDefault="004808C1" w:rsidP="008438CF">
      <w:pPr>
        <w:pStyle w:val="ListParagraph"/>
        <w:numPr>
          <w:ilvl w:val="0"/>
          <w:numId w:val="2"/>
        </w:numPr>
        <w:spacing w:line="360" w:lineRule="auto"/>
        <w:ind w:left="0" w:firstLine="0"/>
        <w:jc w:val="both"/>
        <w:rPr>
          <w:b/>
        </w:rPr>
      </w:pPr>
      <w:r>
        <w:t xml:space="preserve">Calendarul admiterii la studiile universitare de doctorat în IOSUD-UAIC pentru anul </w:t>
      </w:r>
      <w:r w:rsidRPr="009F39BE">
        <w:t>universitar 202</w:t>
      </w:r>
      <w:r w:rsidR="005C482D" w:rsidRPr="009F39BE">
        <w:t>4</w:t>
      </w:r>
      <w:r w:rsidRPr="009F39BE">
        <w:t>-202</w:t>
      </w:r>
      <w:r w:rsidR="005C482D" w:rsidRPr="009F39BE">
        <w:t>5</w:t>
      </w:r>
      <w:r w:rsidRPr="009F39BE">
        <w:t>:</w:t>
      </w:r>
    </w:p>
    <w:p w14:paraId="2A56B9F0" w14:textId="77777777" w:rsidR="00764DC2" w:rsidRDefault="00764DC2" w:rsidP="00764DC2"/>
    <w:p w14:paraId="484D5390" w14:textId="02A724B8" w:rsidR="00764DC2" w:rsidRDefault="00764DC2" w:rsidP="00764DC2">
      <w:r>
        <w:t>Admiterea la doctorat se va f</w:t>
      </w:r>
      <w:r w:rsidR="00704536">
        <w:t>ace în două sesiuni de admitere:</w:t>
      </w:r>
      <w:r w:rsidR="003C6C82">
        <w:t xml:space="preserve">             </w:t>
      </w:r>
    </w:p>
    <w:p w14:paraId="013E31CC" w14:textId="77777777" w:rsidR="008438CF" w:rsidRPr="00704536" w:rsidRDefault="008438CF" w:rsidP="008438CF">
      <w:pPr>
        <w:pStyle w:val="ListParagraph"/>
        <w:spacing w:line="360" w:lineRule="auto"/>
        <w:ind w:left="0"/>
        <w:jc w:val="both"/>
        <w:rPr>
          <w:b/>
          <w:lang w:val="en-US"/>
        </w:rPr>
      </w:pPr>
    </w:p>
    <w:p w14:paraId="7F52A254" w14:textId="79F6CC89" w:rsidR="008438CF" w:rsidRPr="008438CF" w:rsidRDefault="008438CF" w:rsidP="008438CF">
      <w:pPr>
        <w:pStyle w:val="ListParagraph"/>
        <w:spacing w:line="360" w:lineRule="auto"/>
        <w:ind w:left="0"/>
        <w:jc w:val="both"/>
        <w:rPr>
          <w:b/>
          <w:lang w:val="en-US"/>
        </w:rPr>
      </w:pPr>
      <w:r>
        <w:rPr>
          <w:b/>
        </w:rPr>
        <w:t>Sesiunea iulie</w:t>
      </w:r>
      <w:r>
        <w:rPr>
          <w:b/>
          <w:lang w:val="en-US"/>
        </w:rPr>
        <w:t>:</w:t>
      </w:r>
    </w:p>
    <w:p w14:paraId="058E01AD" w14:textId="11708750" w:rsidR="008438CF" w:rsidRPr="00EA7083" w:rsidRDefault="008438CF" w:rsidP="008438CF">
      <w:pPr>
        <w:spacing w:line="360" w:lineRule="auto"/>
        <w:ind w:left="360" w:firstLine="360"/>
      </w:pPr>
      <w:r w:rsidRPr="00EA7083">
        <w:t xml:space="preserve">- înscrierea candidaţilor: 18 – 19 iulie; </w:t>
      </w:r>
    </w:p>
    <w:p w14:paraId="33E2F049" w14:textId="2503CC40" w:rsidR="008438CF" w:rsidRPr="00EA7083" w:rsidRDefault="008438CF" w:rsidP="008438CF">
      <w:pPr>
        <w:spacing w:line="360" w:lineRule="auto"/>
        <w:ind w:firstLine="720"/>
      </w:pPr>
      <w:r w:rsidRPr="00EA7083">
        <w:t xml:space="preserve">- selecţia candidaţilor: 22-23 iulie; </w:t>
      </w:r>
    </w:p>
    <w:p w14:paraId="24290154" w14:textId="6F55DB2A" w:rsidR="008438CF" w:rsidRPr="00EA7083" w:rsidRDefault="008438CF" w:rsidP="008438CF">
      <w:pPr>
        <w:spacing w:line="360" w:lineRule="auto"/>
        <w:ind w:firstLine="720"/>
      </w:pPr>
      <w:r w:rsidRPr="00EA7083">
        <w:t xml:space="preserve">- afişarea rezultatelor: 24 iulie; </w:t>
      </w:r>
    </w:p>
    <w:p w14:paraId="5424C111" w14:textId="60ADAAF9" w:rsidR="008438CF" w:rsidRPr="00EA7083" w:rsidRDefault="008438CF" w:rsidP="008438CF">
      <w:pPr>
        <w:spacing w:line="360" w:lineRule="auto"/>
        <w:ind w:firstLine="720"/>
      </w:pPr>
      <w:r w:rsidRPr="00EA7083">
        <w:t xml:space="preserve">- contestaţii (doar pentru proba scrisă): 25 iulie; </w:t>
      </w:r>
    </w:p>
    <w:p w14:paraId="210F82F1" w14:textId="04962A68" w:rsidR="008438CF" w:rsidRPr="00EA7083" w:rsidRDefault="008438CF" w:rsidP="008438CF">
      <w:pPr>
        <w:spacing w:line="360" w:lineRule="auto"/>
        <w:ind w:firstLine="720"/>
      </w:pPr>
      <w:r w:rsidRPr="00EA7083">
        <w:t xml:space="preserve">- afişarea rezultatelor: 26 iulie; </w:t>
      </w:r>
    </w:p>
    <w:p w14:paraId="388F41B2" w14:textId="77777777" w:rsidR="008438CF" w:rsidRPr="00EA7083" w:rsidRDefault="008438CF" w:rsidP="008438CF">
      <w:pPr>
        <w:spacing w:line="360" w:lineRule="auto"/>
        <w:ind w:firstLine="720"/>
      </w:pPr>
      <w:r w:rsidRPr="00EA7083">
        <w:t xml:space="preserve">- afişarea listei finale cu candidaţii declaraţi admişi: 29 iulie; </w:t>
      </w:r>
    </w:p>
    <w:p w14:paraId="7B4802E8" w14:textId="7D788454" w:rsidR="008438CF" w:rsidRPr="00EA7083" w:rsidRDefault="008438CF" w:rsidP="008438CF">
      <w:pPr>
        <w:spacing w:line="360" w:lineRule="auto"/>
        <w:ind w:firstLine="720"/>
      </w:pPr>
      <w:r w:rsidRPr="00EA7083">
        <w:t>-  confirmarea ocupării locului: 30 și 31 iulie</w:t>
      </w:r>
    </w:p>
    <w:p w14:paraId="31C582F8" w14:textId="77777777" w:rsidR="008438CF" w:rsidRDefault="008438CF" w:rsidP="008438CF">
      <w:pPr>
        <w:spacing w:line="360" w:lineRule="auto"/>
        <w:rPr>
          <w:b/>
        </w:rPr>
      </w:pPr>
      <w:bookmarkStart w:id="5" w:name="_Hlk155203549"/>
    </w:p>
    <w:p w14:paraId="4B1694CA" w14:textId="646DF312" w:rsidR="008438CF" w:rsidRPr="008438CF" w:rsidRDefault="008438CF" w:rsidP="008438CF">
      <w:pPr>
        <w:spacing w:line="360" w:lineRule="auto"/>
        <w:rPr>
          <w:b/>
        </w:rPr>
      </w:pPr>
      <w:r w:rsidRPr="008438CF">
        <w:rPr>
          <w:b/>
        </w:rPr>
        <w:t>Sesiunea septembrie:</w:t>
      </w:r>
    </w:p>
    <w:p w14:paraId="79F45580" w14:textId="538BA0D3" w:rsidR="004B5924" w:rsidRPr="009F39BE" w:rsidRDefault="004808C1" w:rsidP="005C482D">
      <w:pPr>
        <w:spacing w:line="360" w:lineRule="auto"/>
        <w:ind w:firstLine="720"/>
      </w:pPr>
      <w:r w:rsidRPr="009F39BE">
        <w:t>- înscrierea candidaţilor: 0</w:t>
      </w:r>
      <w:r w:rsidR="00DC7A44" w:rsidRPr="009F39BE">
        <w:t>9</w:t>
      </w:r>
      <w:r w:rsidRPr="009F39BE">
        <w:t xml:space="preserve"> – </w:t>
      </w:r>
      <w:r w:rsidR="00DC7A44" w:rsidRPr="009F39BE">
        <w:t>13</w:t>
      </w:r>
      <w:r w:rsidRPr="009F39BE">
        <w:t xml:space="preserve"> septembrie;</w:t>
      </w:r>
    </w:p>
    <w:p w14:paraId="2D80FD7F" w14:textId="4D3667C7" w:rsidR="004B5924" w:rsidRPr="009F39BE" w:rsidRDefault="004808C1">
      <w:pPr>
        <w:spacing w:line="360" w:lineRule="auto"/>
      </w:pPr>
      <w:r w:rsidRPr="009F39BE">
        <w:tab/>
        <w:t>- selecţia candidaţilor: 1</w:t>
      </w:r>
      <w:r w:rsidR="00DC7A44" w:rsidRPr="009F39BE">
        <w:t>6</w:t>
      </w:r>
      <w:r w:rsidRPr="009F39BE">
        <w:t xml:space="preserve"> – </w:t>
      </w:r>
      <w:r w:rsidR="005A46A8">
        <w:t>19</w:t>
      </w:r>
      <w:r w:rsidRPr="009F39BE">
        <w:t xml:space="preserve"> septembrie;</w:t>
      </w:r>
    </w:p>
    <w:p w14:paraId="4889BD7D" w14:textId="7357B3F3" w:rsidR="004B5924" w:rsidRPr="009F39BE" w:rsidRDefault="004808C1">
      <w:pPr>
        <w:spacing w:line="360" w:lineRule="auto"/>
      </w:pPr>
      <w:r w:rsidRPr="009F39BE">
        <w:tab/>
        <w:t xml:space="preserve">- afişarea rezultatelor: </w:t>
      </w:r>
      <w:r w:rsidR="005A46A8">
        <w:t>20</w:t>
      </w:r>
      <w:r w:rsidRPr="009F39BE">
        <w:t xml:space="preserve"> septembrie;</w:t>
      </w:r>
    </w:p>
    <w:p w14:paraId="673741C5" w14:textId="2CB79A1B" w:rsidR="004B5924" w:rsidRPr="009F39BE" w:rsidRDefault="004808C1">
      <w:pPr>
        <w:spacing w:line="360" w:lineRule="auto"/>
      </w:pPr>
      <w:r w:rsidRPr="009F39BE">
        <w:tab/>
        <w:t xml:space="preserve">- contestaţii (doar pentru proba scrisă): </w:t>
      </w:r>
      <w:r w:rsidR="00DC7A44" w:rsidRPr="009F39BE">
        <w:t>2</w:t>
      </w:r>
      <w:r w:rsidR="005A46A8">
        <w:t>3</w:t>
      </w:r>
      <w:r w:rsidRPr="009F39BE">
        <w:t xml:space="preserve"> septembrie;</w:t>
      </w:r>
    </w:p>
    <w:p w14:paraId="4DE308D8" w14:textId="7F634105" w:rsidR="004B5924" w:rsidRPr="009F39BE" w:rsidRDefault="004808C1">
      <w:pPr>
        <w:spacing w:line="360" w:lineRule="auto"/>
      </w:pPr>
      <w:r w:rsidRPr="009F39BE">
        <w:tab/>
        <w:t>- afişarea rezultatelor: 2</w:t>
      </w:r>
      <w:r w:rsidR="005A46A8">
        <w:t>4</w:t>
      </w:r>
      <w:r w:rsidRPr="009F39BE">
        <w:t xml:space="preserve"> septembrie;</w:t>
      </w:r>
    </w:p>
    <w:p w14:paraId="19D71DFD" w14:textId="42639290" w:rsidR="004B5924" w:rsidRPr="009F39BE" w:rsidRDefault="004808C1">
      <w:pPr>
        <w:spacing w:line="360" w:lineRule="auto"/>
      </w:pPr>
      <w:r w:rsidRPr="009F39BE">
        <w:tab/>
        <w:t>- afişarea listei finale cu candidaţii declaraţi admişi: 2</w:t>
      </w:r>
      <w:r w:rsidR="005A46A8">
        <w:t>4</w:t>
      </w:r>
      <w:r w:rsidRPr="009F39BE">
        <w:t xml:space="preserve"> septembrie;</w:t>
      </w:r>
    </w:p>
    <w:p w14:paraId="6CA62C61" w14:textId="6F82133B" w:rsidR="004B5924" w:rsidRPr="009F39BE" w:rsidRDefault="004808C1">
      <w:pPr>
        <w:spacing w:line="360" w:lineRule="auto"/>
      </w:pPr>
      <w:r w:rsidRPr="009F39BE">
        <w:tab/>
        <w:t>- confirmarea ocupării locului: 2</w:t>
      </w:r>
      <w:r w:rsidR="005A46A8">
        <w:t>5</w:t>
      </w:r>
      <w:r w:rsidRPr="009F39BE">
        <w:t xml:space="preserve"> și </w:t>
      </w:r>
      <w:r w:rsidR="005A46A8">
        <w:t>26</w:t>
      </w:r>
      <w:r w:rsidRPr="009F39BE">
        <w:t xml:space="preserve"> septembrie.</w:t>
      </w:r>
    </w:p>
    <w:bookmarkEnd w:id="5"/>
    <w:p w14:paraId="3E016B4B" w14:textId="77777777" w:rsidR="004B5924" w:rsidRDefault="004808C1">
      <w:pPr>
        <w:pStyle w:val="ListParagraph"/>
        <w:numPr>
          <w:ilvl w:val="0"/>
          <w:numId w:val="2"/>
        </w:numPr>
        <w:spacing w:line="360" w:lineRule="auto"/>
        <w:ind w:left="0" w:firstLine="0"/>
        <w:jc w:val="both"/>
        <w:rPr>
          <w:b/>
        </w:rPr>
      </w:pPr>
      <w:r>
        <w:t>(1) Pentru ciclul de studii universitare de doctorat, admiterea se realizează în domeniile de studii universitare de doctorat aprobate, în conformitate cu prevederile legale în vigoare.</w:t>
      </w:r>
    </w:p>
    <w:p w14:paraId="577DDF02" w14:textId="65146F99" w:rsidR="004B5924" w:rsidRPr="009F39BE" w:rsidRDefault="004808C1">
      <w:pPr>
        <w:tabs>
          <w:tab w:val="left" w:pos="426"/>
        </w:tabs>
        <w:spacing w:line="360" w:lineRule="auto"/>
        <w:jc w:val="both"/>
      </w:pPr>
      <w:r>
        <w:t xml:space="preserve">(2) Domeniile în care IOSUD-UAIC organizează studii universitare de doctorat sunt următoarele: Matematică, Informatică, Fizică, Chimie, Biologie, Geologie, Geografie, Ştiinţa Mediului, Istorie, Filosofie, Ştiinţe ale Comunicării, Sociologie, Ştiinţe Politice, Psihologie, Ştiinţe ale Educaţiei, Drept, Filologie, Contabilitate, Cibernetică şi Statistică, Economie, Finanţe, Management, Marketing, Economie şi Afaceri Internaţionale, Informatică Economică, </w:t>
      </w:r>
      <w:r w:rsidR="00864A9F" w:rsidRPr="009F39BE">
        <w:t xml:space="preserve">Științe Administrative, </w:t>
      </w:r>
      <w:r w:rsidR="002273F5" w:rsidRPr="009F39BE">
        <w:t>Admi</w:t>
      </w:r>
      <w:r w:rsidR="009F39BE" w:rsidRPr="009F39BE">
        <w:t>nis</w:t>
      </w:r>
      <w:r w:rsidR="002273F5" w:rsidRPr="009F39BE">
        <w:t xml:space="preserve">trarea Afacerilor, </w:t>
      </w:r>
      <w:r w:rsidRPr="009F39BE">
        <w:t>Teologie, Știința Sportului și Educației Fizice.</w:t>
      </w:r>
    </w:p>
    <w:p w14:paraId="12E12380" w14:textId="46267C82" w:rsidR="004B5924" w:rsidRDefault="00425293" w:rsidP="00425293">
      <w:pPr>
        <w:pStyle w:val="ListParagraph"/>
        <w:spacing w:line="360" w:lineRule="auto"/>
        <w:ind w:left="0"/>
        <w:jc w:val="both"/>
        <w:rPr>
          <w:b/>
        </w:rPr>
      </w:pPr>
      <w:r w:rsidRPr="00425293">
        <w:rPr>
          <w:b/>
          <w:bCs/>
        </w:rPr>
        <w:t xml:space="preserve">Art. </w:t>
      </w:r>
      <w:r w:rsidR="00701C96">
        <w:rPr>
          <w:b/>
          <w:bCs/>
        </w:rPr>
        <w:t>7</w:t>
      </w:r>
      <w:r>
        <w:t>. (1) Studiile universitare de doctorat se organizează în forma de învăţământ cu frecvență sau cu frecvenţă redusă, cu finanțare de la bugetul de stat (subvenționate prin granturi doctorale) sau în regim cu taxă, valoarea acesteia fiind stabilită de Senatul UAIC, pe baza propunerilor CSD, cu avizul Biroului Executiv al Consiliului de Administrație și al Consiliului de Administrație. Studiile universitare de doctorat organizate la IOSUD-UAIC sunt de tip ştiinţific.</w:t>
      </w:r>
    </w:p>
    <w:p w14:paraId="621B9BD2" w14:textId="77777777" w:rsidR="004B5924" w:rsidRDefault="004808C1">
      <w:pPr>
        <w:pStyle w:val="NormalWeb"/>
        <w:spacing w:before="0" w:beforeAutospacing="0" w:after="0" w:afterAutospacing="0" w:line="360" w:lineRule="auto"/>
        <w:jc w:val="both"/>
        <w:rPr>
          <w:lang w:val="ro-RO"/>
        </w:rPr>
      </w:pPr>
      <w:r>
        <w:rPr>
          <w:lang w:val="ro-RO"/>
        </w:rPr>
        <w:t>(2) Dacă în urma concursului de admitere, la unele școli doctorale, nu se completează toate locurile finanţate de la bugetul de stat, conducerea IOSUD-UAIC poate hotărî redistribuirea locurilor rămase neocupate. În acest caz, la fiecare școală doctorală unde s-au transferat locuri, candidaţii respinşi, dar care îndeplinesc criteriul minimal de admitere, pot fi înmatriculaţi în ordinea descrescătoare a mediei obţinute la concurs, până la epuizarea locurilor suplimentate, în limita pozițiilor vacante aferente conducătorilor de doctorat.</w:t>
      </w:r>
    </w:p>
    <w:p w14:paraId="5835BB94" w14:textId="77777777" w:rsidR="004B5924" w:rsidRDefault="004808C1">
      <w:pPr>
        <w:pStyle w:val="NormalWeb"/>
        <w:spacing w:before="0" w:beforeAutospacing="0" w:after="0" w:afterAutospacing="0" w:line="360" w:lineRule="auto"/>
        <w:jc w:val="both"/>
        <w:rPr>
          <w:lang w:val="ro-RO"/>
        </w:rPr>
      </w:pPr>
      <w:r>
        <w:rPr>
          <w:lang w:val="ro-RO"/>
        </w:rPr>
        <w:t>(3) În cazul în care după redistribuire rămân locuri finanţate de la buget neocupate, conducerea IOSUD poate decide organizarea unei a doua sesiuni de admitere.</w:t>
      </w:r>
    </w:p>
    <w:p w14:paraId="2069F303" w14:textId="44C5141F" w:rsidR="004B5924" w:rsidRDefault="00425293" w:rsidP="00425293">
      <w:pPr>
        <w:pStyle w:val="ListParagraph"/>
        <w:spacing w:line="360" w:lineRule="auto"/>
        <w:ind w:left="0"/>
        <w:jc w:val="both"/>
        <w:rPr>
          <w:b/>
        </w:rPr>
      </w:pPr>
      <w:r w:rsidRPr="00425293">
        <w:rPr>
          <w:b/>
          <w:bCs/>
        </w:rPr>
        <w:t xml:space="preserve">Art. </w:t>
      </w:r>
      <w:r w:rsidR="00701C96">
        <w:rPr>
          <w:b/>
          <w:bCs/>
        </w:rPr>
        <w:t>8</w:t>
      </w:r>
      <w:r w:rsidRPr="00425293">
        <w:rPr>
          <w:b/>
          <w:bCs/>
        </w:rPr>
        <w:t>.</w:t>
      </w:r>
      <w:r>
        <w:t xml:space="preserve"> (1) Până la data de 25 februarie </w:t>
      </w:r>
      <w:r w:rsidRPr="00502431">
        <w:t>202</w:t>
      </w:r>
      <w:r w:rsidR="00864A9F" w:rsidRPr="00502431">
        <w:t>4</w:t>
      </w:r>
      <w:r w:rsidRPr="00502431">
        <w:t xml:space="preserve">, </w:t>
      </w:r>
      <w:r>
        <w:t xml:space="preserve">se constituie Comisia centrală de admitere la nivelul IOSUD care este formată din Rectorul Universităţii în calitate de președinte, Directorul CSUD, Prorectorul pentru studii doctorale, digitalizare, filialele şi extensiunile UAIC. </w:t>
      </w:r>
      <w:r>
        <w:rPr>
          <w:rFonts w:eastAsia="Trebuchet MS"/>
        </w:rPr>
        <w:t>Comisia centrală de admitere va menţine comunicarea cu presa şi cu toate celelalte mijloace de informare.</w:t>
      </w:r>
    </w:p>
    <w:p w14:paraId="1B9C7031" w14:textId="327A8585" w:rsidR="004B5924" w:rsidRDefault="004808C1">
      <w:pPr>
        <w:pStyle w:val="Default"/>
        <w:spacing w:line="360" w:lineRule="auto"/>
        <w:jc w:val="both"/>
        <w:rPr>
          <w:lang w:val="ro-RO"/>
        </w:rPr>
      </w:pPr>
      <w:r>
        <w:rPr>
          <w:lang w:val="ro-RO"/>
        </w:rPr>
        <w:t xml:space="preserve">(2) Până la data de 25 </w:t>
      </w:r>
      <w:r w:rsidRPr="00502431">
        <w:rPr>
          <w:color w:val="auto"/>
          <w:lang w:val="ro-RO"/>
        </w:rPr>
        <w:t>februarie 202</w:t>
      </w:r>
      <w:r w:rsidR="00864A9F" w:rsidRPr="00502431">
        <w:rPr>
          <w:color w:val="auto"/>
          <w:lang w:val="ro-RO"/>
        </w:rPr>
        <w:t>4</w:t>
      </w:r>
      <w:r w:rsidRPr="00502431">
        <w:rPr>
          <w:color w:val="auto"/>
          <w:lang w:val="ro-RO"/>
        </w:rPr>
        <w:t xml:space="preserve">, </w:t>
      </w:r>
      <w:r>
        <w:rPr>
          <w:lang w:val="ro-RO"/>
        </w:rPr>
        <w:t>se constituie, de asemenea, Comisii de admitere la nivelul fiecărei Școli doctorale, alcătuite din Directorul școlii doctorale în calitate de președinte, conducători de doctorat din fiecare domeniu asociat școlii doctorale şi un secretar.</w:t>
      </w:r>
    </w:p>
    <w:p w14:paraId="5B88C0D2" w14:textId="59C886AD" w:rsidR="004B5924" w:rsidRDefault="004808C1">
      <w:pPr>
        <w:pStyle w:val="Default"/>
        <w:spacing w:line="360" w:lineRule="auto"/>
        <w:jc w:val="both"/>
        <w:rPr>
          <w:rFonts w:eastAsia="Trebuchet MS"/>
          <w:lang w:val="fr-FR"/>
        </w:rPr>
      </w:pPr>
      <w:r>
        <w:rPr>
          <w:rFonts w:eastAsia="Trebuchet MS"/>
          <w:lang w:val="ro-RO"/>
        </w:rPr>
        <w:t xml:space="preserve">(3) Comisiile de admitere răspund de desfăşurarea în bune condiţii a întregului examen de admitere, având obligaţia de a transmite către Comisia centrală de admitere eventualele situaţii neprevăzute care apar şi de a le soluţiona în colaborare cu aceasta. </w:t>
      </w:r>
      <w:r>
        <w:rPr>
          <w:rFonts w:eastAsia="Trebuchet MS"/>
          <w:lang w:val="fr-FR"/>
        </w:rPr>
        <w:t>Sediul Comisiei centrale de admitere pe</w:t>
      </w:r>
      <w:r w:rsidR="00502431">
        <w:rPr>
          <w:rFonts w:eastAsia="Trebuchet MS"/>
          <w:lang w:val="fr-FR"/>
        </w:rPr>
        <w:t xml:space="preserve"> universitate este la Rectorat.</w:t>
      </w:r>
    </w:p>
    <w:p w14:paraId="285A1AE5" w14:textId="77777777" w:rsidR="004B5924" w:rsidRDefault="004808C1">
      <w:pPr>
        <w:pStyle w:val="Default"/>
        <w:spacing w:line="360" w:lineRule="auto"/>
        <w:jc w:val="both"/>
        <w:rPr>
          <w:rFonts w:eastAsia="Trebuchet MS"/>
          <w:color w:val="000000" w:themeColor="text1"/>
          <w:lang w:val="fr-FR"/>
        </w:rPr>
      </w:pPr>
      <w:r>
        <w:rPr>
          <w:rFonts w:eastAsia="Trebuchet MS"/>
          <w:color w:val="000000" w:themeColor="text1"/>
          <w:lang w:val="fr-FR"/>
        </w:rPr>
        <w:t>(4) Secretariatul Comisiilor de admitere și de contestații este asigurat de secretariatele școlilor doctorale.</w:t>
      </w:r>
    </w:p>
    <w:p w14:paraId="23C69E88" w14:textId="77777777" w:rsidR="004B5924" w:rsidRDefault="004808C1">
      <w:pPr>
        <w:pStyle w:val="Default"/>
        <w:spacing w:line="360" w:lineRule="auto"/>
        <w:jc w:val="both"/>
        <w:rPr>
          <w:lang w:val="ro-RO"/>
        </w:rPr>
      </w:pPr>
      <w:r>
        <w:rPr>
          <w:lang w:val="ro-RO"/>
        </w:rPr>
        <w:t>(5) Pentru locurile propuse de către conducătorii de doctorat, comisia de admitere include în mod obligatoriu conducătorii de doctorat pentru candidații proprii.</w:t>
      </w:r>
    </w:p>
    <w:p w14:paraId="15BC8AFF" w14:textId="77777777" w:rsidR="004B5924" w:rsidRDefault="004808C1">
      <w:pPr>
        <w:pStyle w:val="Default"/>
        <w:spacing w:line="360" w:lineRule="auto"/>
        <w:jc w:val="both"/>
        <w:rPr>
          <w:lang w:val="ro-RO"/>
        </w:rPr>
      </w:pPr>
      <w:r>
        <w:rPr>
          <w:lang w:val="ro-RO"/>
        </w:rPr>
        <w:t>(6) Odată cu desemnarea comisiei de admitere, la nivelul fiecărei școli doctorale se numeşte şi o comisie pentru rezolvarea contestaţiilor, formată din 3 membri numiţi dintre conducătorii de doctorat ai Școlii doctorale care nu fac parte din comisia de admitere. Acolo unde nu se poate realiza această condiţie, pot fi numite alte cadre didactice din facultate cu gradul didactic de profesor sau conferențiar și care au mai participat în comisiile de îndrumare a doctoranzilor.</w:t>
      </w:r>
    </w:p>
    <w:p w14:paraId="7D2D05F7" w14:textId="77777777" w:rsidR="004B5924" w:rsidRDefault="004808C1">
      <w:pPr>
        <w:pStyle w:val="Default"/>
        <w:spacing w:line="360" w:lineRule="auto"/>
        <w:jc w:val="both"/>
        <w:rPr>
          <w:lang w:val="ro-RO"/>
        </w:rPr>
      </w:pPr>
      <w:r>
        <w:rPr>
          <w:lang w:val="ro-RO"/>
        </w:rPr>
        <w:t xml:space="preserve">(7) Comisiile sunt propuse de CSD și aprobate de CSUD. </w:t>
      </w:r>
    </w:p>
    <w:p w14:paraId="434AD0D0" w14:textId="5FF023C3" w:rsidR="004B5924" w:rsidRDefault="00701C96" w:rsidP="00425293">
      <w:pPr>
        <w:pStyle w:val="ListParagraph"/>
        <w:spacing w:line="360" w:lineRule="auto"/>
        <w:ind w:left="0"/>
        <w:jc w:val="both"/>
      </w:pPr>
      <w:r>
        <w:rPr>
          <w:b/>
          <w:bCs/>
        </w:rPr>
        <w:t>Art. 9</w:t>
      </w:r>
      <w:r w:rsidR="00425293" w:rsidRPr="00425293">
        <w:rPr>
          <w:b/>
          <w:bCs/>
        </w:rPr>
        <w:t>.</w:t>
      </w:r>
      <w:r w:rsidR="00425293">
        <w:t xml:space="preserve"> Comisiile de admitere de la nivelul şcolilor doctorale au următoarele atribuţii:</w:t>
      </w:r>
    </w:p>
    <w:p w14:paraId="28398D9C" w14:textId="77777777" w:rsidR="004B5924" w:rsidRDefault="004808C1">
      <w:pPr>
        <w:pStyle w:val="Normal1"/>
        <w:numPr>
          <w:ilvl w:val="0"/>
          <w:numId w:val="7"/>
        </w:numPr>
        <w:tabs>
          <w:tab w:val="left" w:pos="993"/>
        </w:tabs>
        <w:spacing w:line="360" w:lineRule="auto"/>
        <w:ind w:left="993" w:hanging="284"/>
        <w:jc w:val="both"/>
      </w:pPr>
      <w:r>
        <w:rPr>
          <w:rFonts w:eastAsia="Arial"/>
        </w:rPr>
        <w:t>cunosc și respectă prevederile prezentei metodologii;</w:t>
      </w:r>
      <w:r>
        <w:rPr>
          <w:rFonts w:eastAsia="Arial"/>
        </w:rPr>
        <w:tab/>
      </w:r>
    </w:p>
    <w:p w14:paraId="42FA6F8A" w14:textId="77777777" w:rsidR="004B5924" w:rsidRDefault="004808C1">
      <w:pPr>
        <w:pStyle w:val="Normal1"/>
        <w:numPr>
          <w:ilvl w:val="0"/>
          <w:numId w:val="7"/>
        </w:numPr>
        <w:tabs>
          <w:tab w:val="left" w:pos="993"/>
        </w:tabs>
        <w:spacing w:line="360" w:lineRule="auto"/>
        <w:ind w:left="993" w:hanging="284"/>
        <w:jc w:val="both"/>
      </w:pPr>
      <w:r>
        <w:rPr>
          <w:rFonts w:eastAsia="Trebuchet MS"/>
        </w:rPr>
        <w:t>gestionează distribuirea informațiilor referitoare la admitere (numărul locurilor disponibile și repartiția acestora, tipul probelor de admitere) prin diversele mijloace  (site, pliante, e-mail etc.) și răspund pentru corectitudinea acestora;</w:t>
      </w:r>
    </w:p>
    <w:p w14:paraId="1C95E11E" w14:textId="77777777" w:rsidR="004B5924" w:rsidRDefault="004808C1">
      <w:pPr>
        <w:pStyle w:val="Normal1"/>
        <w:numPr>
          <w:ilvl w:val="0"/>
          <w:numId w:val="7"/>
        </w:numPr>
        <w:tabs>
          <w:tab w:val="left" w:pos="993"/>
        </w:tabs>
        <w:spacing w:line="360" w:lineRule="auto"/>
        <w:ind w:left="993" w:hanging="284"/>
        <w:jc w:val="both"/>
      </w:pPr>
      <w:r>
        <w:rPr>
          <w:rFonts w:eastAsia="Trebuchet MS"/>
        </w:rPr>
        <w:t>răspund la e-mail-urile primite pe adresele special alocate admiterii, în termen de două zile calendaristice</w:t>
      </w:r>
      <w:r>
        <w:rPr>
          <w:rFonts w:eastAsia="Trebuchet MS"/>
          <w:spacing w:val="-4"/>
        </w:rPr>
        <w:t>;</w:t>
      </w:r>
    </w:p>
    <w:p w14:paraId="3CEA0986" w14:textId="77777777" w:rsidR="004B5924" w:rsidRDefault="004808C1">
      <w:pPr>
        <w:pStyle w:val="Normal1"/>
        <w:numPr>
          <w:ilvl w:val="0"/>
          <w:numId w:val="7"/>
        </w:numPr>
        <w:tabs>
          <w:tab w:val="left" w:pos="993"/>
        </w:tabs>
        <w:spacing w:line="360" w:lineRule="auto"/>
        <w:ind w:left="993" w:hanging="284"/>
        <w:jc w:val="both"/>
      </w:pPr>
      <w:r>
        <w:t>organizează înscrierea candidaţilor;</w:t>
      </w:r>
    </w:p>
    <w:p w14:paraId="797C3A69" w14:textId="77777777" w:rsidR="004B5924" w:rsidRDefault="004808C1">
      <w:pPr>
        <w:pStyle w:val="Normal1"/>
        <w:numPr>
          <w:ilvl w:val="0"/>
          <w:numId w:val="7"/>
        </w:numPr>
        <w:tabs>
          <w:tab w:val="left" w:pos="993"/>
        </w:tabs>
        <w:spacing w:line="360" w:lineRule="auto"/>
        <w:ind w:left="993" w:hanging="284"/>
        <w:jc w:val="both"/>
      </w:pPr>
      <w:r>
        <w:t>instruiesc personalul antrenat în activităţile de admitere;</w:t>
      </w:r>
    </w:p>
    <w:p w14:paraId="2DD9BB17" w14:textId="77777777" w:rsidR="004B5924" w:rsidRDefault="004808C1">
      <w:pPr>
        <w:pStyle w:val="Normal1"/>
        <w:numPr>
          <w:ilvl w:val="0"/>
          <w:numId w:val="7"/>
        </w:numPr>
        <w:tabs>
          <w:tab w:val="left" w:pos="993"/>
        </w:tabs>
        <w:spacing w:line="360" w:lineRule="auto"/>
        <w:ind w:left="993" w:hanging="284"/>
        <w:jc w:val="both"/>
      </w:pPr>
      <w:r>
        <w:t>asigură materialele necesare desfăşurării admiterii;</w:t>
      </w:r>
    </w:p>
    <w:p w14:paraId="14EB3F65" w14:textId="77777777" w:rsidR="004B5924" w:rsidRDefault="004808C1">
      <w:pPr>
        <w:pStyle w:val="Normal1"/>
        <w:numPr>
          <w:ilvl w:val="0"/>
          <w:numId w:val="7"/>
        </w:numPr>
        <w:tabs>
          <w:tab w:val="left" w:pos="993"/>
        </w:tabs>
        <w:spacing w:line="360" w:lineRule="auto"/>
        <w:ind w:left="993" w:hanging="284"/>
        <w:jc w:val="both"/>
      </w:pPr>
      <w:r>
        <w:rPr>
          <w:rFonts w:eastAsia="Trebuchet MS"/>
        </w:rPr>
        <w:t>certifică conformitatea cu originalul a copiilor actelor de identitate necesare înscrierii, după confruntarea acestora cu originalul, care se restituie candidatului;</w:t>
      </w:r>
    </w:p>
    <w:p w14:paraId="1FEBB799" w14:textId="77777777" w:rsidR="004B5924" w:rsidRDefault="004808C1">
      <w:pPr>
        <w:pStyle w:val="Normal1"/>
        <w:numPr>
          <w:ilvl w:val="0"/>
          <w:numId w:val="7"/>
        </w:numPr>
        <w:tabs>
          <w:tab w:val="left" w:pos="993"/>
        </w:tabs>
        <w:spacing w:line="360" w:lineRule="auto"/>
        <w:ind w:left="993" w:hanging="284"/>
        <w:jc w:val="both"/>
      </w:pPr>
      <w:r>
        <w:t>organizează (după caz) accesul candidaţilor în sălile de concurs şi supravegherea acestora în timpul probelor;</w:t>
      </w:r>
    </w:p>
    <w:p w14:paraId="30EF1B03" w14:textId="77777777" w:rsidR="004B5924" w:rsidRDefault="004808C1">
      <w:pPr>
        <w:pStyle w:val="Normal1"/>
        <w:numPr>
          <w:ilvl w:val="0"/>
          <w:numId w:val="7"/>
        </w:numPr>
        <w:tabs>
          <w:tab w:val="left" w:pos="993"/>
        </w:tabs>
        <w:spacing w:line="360" w:lineRule="auto"/>
        <w:ind w:left="993" w:hanging="284"/>
        <w:jc w:val="both"/>
      </w:pPr>
      <w:r>
        <w:t>redactează  rezultatele finale ale concursului de admitere (liste de rezultate, decizii de înmatriculare etc.).</w:t>
      </w:r>
    </w:p>
    <w:p w14:paraId="5FEBFEEE" w14:textId="77777777" w:rsidR="004B5924" w:rsidRDefault="004808C1">
      <w:pPr>
        <w:pStyle w:val="Heading1"/>
        <w:spacing w:before="360" w:after="240"/>
        <w:jc w:val="both"/>
        <w:rPr>
          <w:sz w:val="28"/>
          <w:szCs w:val="28"/>
        </w:rPr>
      </w:pPr>
      <w:bookmarkStart w:id="6" w:name="_Toc94688282"/>
      <w:r>
        <w:rPr>
          <w:sz w:val="28"/>
          <w:szCs w:val="28"/>
        </w:rPr>
        <w:t>CAPITOLUL IV. ÎNSCRIEREA CANDIDAŢILOR LA CONCURSUL DE ADMITERE ŞI DESFĂŞURAREA CONCURSULUI DE ADMITERE</w:t>
      </w:r>
      <w:bookmarkEnd w:id="6"/>
    </w:p>
    <w:p w14:paraId="7B9FDD2E" w14:textId="76943ACE" w:rsidR="004B5924" w:rsidRPr="00425293" w:rsidRDefault="00425293" w:rsidP="00425293">
      <w:pPr>
        <w:tabs>
          <w:tab w:val="left" w:pos="851"/>
        </w:tabs>
        <w:spacing w:line="360" w:lineRule="auto"/>
        <w:jc w:val="both"/>
        <w:rPr>
          <w:rStyle w:val="Strong"/>
          <w:bCs w:val="0"/>
        </w:rPr>
      </w:pPr>
      <w:r>
        <w:rPr>
          <w:rStyle w:val="Strong"/>
          <w:bCs w:val="0"/>
        </w:rPr>
        <w:t>Art. 1</w:t>
      </w:r>
      <w:r w:rsidR="00701C96">
        <w:rPr>
          <w:rStyle w:val="Strong"/>
          <w:bCs w:val="0"/>
        </w:rPr>
        <w:t>0</w:t>
      </w:r>
      <w:r>
        <w:rPr>
          <w:rStyle w:val="Strong"/>
          <w:bCs w:val="0"/>
        </w:rPr>
        <w:t xml:space="preserve">. </w:t>
      </w:r>
      <w:r w:rsidRPr="00425293">
        <w:rPr>
          <w:rStyle w:val="Strong"/>
          <w:bCs w:val="0"/>
        </w:rPr>
        <w:t>Condiții generale pentru înscrierea candidaților</w:t>
      </w:r>
    </w:p>
    <w:p w14:paraId="78E2886F" w14:textId="3C188D9B" w:rsidR="006F5B01" w:rsidRPr="00502431" w:rsidRDefault="004808C1" w:rsidP="006F5B01">
      <w:pPr>
        <w:numPr>
          <w:ilvl w:val="0"/>
          <w:numId w:val="8"/>
        </w:numPr>
        <w:spacing w:line="360" w:lineRule="auto"/>
        <w:jc w:val="both"/>
        <w:rPr>
          <w:lang w:eastAsia="en-US"/>
        </w:rPr>
      </w:pPr>
      <w:r>
        <w:rPr>
          <w:lang w:eastAsia="en-US"/>
        </w:rPr>
        <w:t xml:space="preserve">La admiterea în ciclul de studii universitare de doctorat pot participa absolvenţii de învăţământ superior cu diplomă de licenţă sau echivalentă ai studiilor universitare de lungă durată, absolvenţii cu diplomă de master ai ciclului de studii universitare de master organizate conform Legii nr. 288/2004, cu modificările şi completările ulterioare, precum şi absolvenţii studiilor efectuate în străinătate şi recunoscute de către direcţia de specialitate din </w:t>
      </w:r>
      <w:r w:rsidRPr="00502431">
        <w:rPr>
          <w:lang w:eastAsia="en-US"/>
        </w:rPr>
        <w:t>cadrul Ministerului Educaţiei Naționale ca fiind cel puţin</w:t>
      </w:r>
      <w:r w:rsidR="005C40BA" w:rsidRPr="00502431">
        <w:rPr>
          <w:lang w:eastAsia="en-US"/>
        </w:rPr>
        <w:t xml:space="preserve"> studii universitare de master.</w:t>
      </w:r>
    </w:p>
    <w:p w14:paraId="6D281D36" w14:textId="77777777" w:rsidR="006F5B01" w:rsidRPr="00502431" w:rsidRDefault="006F5B01" w:rsidP="006F5B01">
      <w:pPr>
        <w:numPr>
          <w:ilvl w:val="0"/>
          <w:numId w:val="8"/>
        </w:numPr>
        <w:spacing w:line="360" w:lineRule="auto"/>
        <w:jc w:val="both"/>
        <w:rPr>
          <w:lang w:eastAsia="en-US"/>
        </w:rPr>
      </w:pPr>
      <w:r w:rsidRPr="00502431">
        <w:rPr>
          <w:lang w:eastAsia="en-US"/>
        </w:rPr>
        <w:t xml:space="preserve">Se pot </w:t>
      </w:r>
      <w:r w:rsidRPr="00502431">
        <w:rPr>
          <w:lang w:val="ro-MD" w:eastAsia="en-US"/>
        </w:rPr>
        <w:t xml:space="preserve">înscrie la doctorat </w:t>
      </w:r>
      <w:r w:rsidRPr="00502431">
        <w:rPr>
          <w:lang w:eastAsia="en-US"/>
        </w:rPr>
        <w:t>și absolvenții cu diplomă de licență sau echivalentă (diploma de licență a absolvenților unor programe de studii de 5 sau 6 ani, forma de învățământ „zi”), eliberată până în anul absolvirii primei promoții de licență organizate în conformitate cu prevederile Legii nr. 288/2004 privind organizarea studiilor universitare, cu modificările și completările ulterioare (învățământ de lungă durată).</w:t>
      </w:r>
    </w:p>
    <w:p w14:paraId="3EF51D0E" w14:textId="0571787E" w:rsidR="004B5924" w:rsidRDefault="004808C1" w:rsidP="006F5B01">
      <w:pPr>
        <w:numPr>
          <w:ilvl w:val="0"/>
          <w:numId w:val="8"/>
        </w:numPr>
        <w:spacing w:line="360" w:lineRule="auto"/>
        <w:jc w:val="both"/>
        <w:rPr>
          <w:lang w:eastAsia="en-US"/>
        </w:rPr>
      </w:pPr>
      <w:r w:rsidRPr="00502431">
        <w:rPr>
          <w:lang w:eastAsia="en-US"/>
        </w:rPr>
        <w:t xml:space="preserve">Potrivit prevederilor Legii </w:t>
      </w:r>
      <w:r w:rsidR="00623A75" w:rsidRPr="00502431">
        <w:rPr>
          <w:lang w:eastAsia="en-US"/>
        </w:rPr>
        <w:t>învățământului superior</w:t>
      </w:r>
      <w:r w:rsidRPr="00502431">
        <w:rPr>
          <w:lang w:eastAsia="en-US"/>
        </w:rPr>
        <w:t xml:space="preserve"> nr. </w:t>
      </w:r>
      <w:r w:rsidR="00623A75" w:rsidRPr="00502431">
        <w:rPr>
          <w:lang w:eastAsia="en-US"/>
        </w:rPr>
        <w:t>199</w:t>
      </w:r>
      <w:r w:rsidRPr="00502431">
        <w:rPr>
          <w:lang w:eastAsia="en-US"/>
        </w:rPr>
        <w:t>/20</w:t>
      </w:r>
      <w:r w:rsidR="00623A75" w:rsidRPr="00502431">
        <w:rPr>
          <w:lang w:eastAsia="en-US"/>
        </w:rPr>
        <w:t>23</w:t>
      </w:r>
      <w:r w:rsidRPr="00502431">
        <w:rPr>
          <w:lang w:eastAsia="en-US"/>
        </w:rPr>
        <w:t xml:space="preserve"> și </w:t>
      </w:r>
      <w:r w:rsidRPr="00502431">
        <w:t xml:space="preserve">Adresei </w:t>
      </w:r>
      <w:r>
        <w:t>25/DGIU/25/01/2021 a MEC</w:t>
      </w:r>
      <w:r>
        <w:rPr>
          <w:lang w:eastAsia="en-US"/>
        </w:rPr>
        <w:t>, diploma de licenţă a absolvenţilor învăţământului superior de lungă durată din perioada anterioară aplicării celor trei cicluri tip Bologna este echivalentă cu diploma de studii universitare de master în specialitate. În consecinţă, titularii diplomelor de studii superioare de lungă durată au dreptul să se înscrie la studii universitare de doctorat fără obligativitatea de a mai parcurge ciclul II de studii universitare de master.</w:t>
      </w:r>
    </w:p>
    <w:p w14:paraId="5C6878ED" w14:textId="77777777" w:rsidR="004B5924" w:rsidRDefault="004808C1">
      <w:pPr>
        <w:spacing w:line="360" w:lineRule="auto"/>
        <w:jc w:val="both"/>
        <w:rPr>
          <w:lang w:eastAsia="en-US"/>
        </w:rPr>
      </w:pPr>
      <w:r>
        <w:rPr>
          <w:lang w:eastAsia="en-US"/>
        </w:rPr>
        <w:t>Pentru specializările de licență la care durata studiilor nu s-a modificat după aplicarea ciclurilor de tip Bologna, nu este posibilă înscrierea la ciclul III de studii de doctorat fără parcurgerea ciclului II de studii universitare de master.</w:t>
      </w:r>
    </w:p>
    <w:p w14:paraId="2EF409F2" w14:textId="77777777" w:rsidR="004B5924" w:rsidRDefault="004808C1">
      <w:pPr>
        <w:pStyle w:val="Default"/>
        <w:spacing w:line="360" w:lineRule="auto"/>
        <w:jc w:val="both"/>
        <w:rPr>
          <w:lang w:val="ro-RO"/>
        </w:rPr>
      </w:pPr>
      <w:r>
        <w:rPr>
          <w:lang w:val="ro-RO"/>
        </w:rPr>
        <w:t xml:space="preserve">(2) Înscrierea la concursul de admitere la studii universitare de doctorat în cadrul IOSUD-UAIC într-un domeniu de doctorat nu este condiţionată de domeniul în care a fost dobândită diploma de licenţă sau master, cu excepţia cazurilor în care Şcolile doctorale impun condiţii specifice de admitere. Durata totală cumulată a ciclului de studii universitare de licenţă şi master trebuie să fie corespunzătoare acumulării de cel puţin 300 de credite transferabile (ECTS). </w:t>
      </w:r>
    </w:p>
    <w:p w14:paraId="632E4754" w14:textId="54C79980" w:rsidR="004B5924" w:rsidRDefault="00425293" w:rsidP="00425293">
      <w:pPr>
        <w:pStyle w:val="ListParagraph"/>
        <w:tabs>
          <w:tab w:val="left" w:pos="993"/>
        </w:tabs>
        <w:spacing w:line="360" w:lineRule="auto"/>
        <w:ind w:left="0"/>
        <w:jc w:val="both"/>
      </w:pPr>
      <w:r w:rsidRPr="00425293">
        <w:rPr>
          <w:rFonts w:eastAsia="Trebuchet MS"/>
          <w:b/>
          <w:bCs/>
        </w:rPr>
        <w:t>Art. 1</w:t>
      </w:r>
      <w:r w:rsidR="005C40BA">
        <w:rPr>
          <w:rFonts w:eastAsia="Trebuchet MS"/>
          <w:b/>
          <w:bCs/>
        </w:rPr>
        <w:t>1</w:t>
      </w:r>
      <w:r w:rsidRPr="00425293">
        <w:rPr>
          <w:rFonts w:eastAsia="Trebuchet MS"/>
          <w:b/>
          <w:bCs/>
        </w:rPr>
        <w:t>.</w:t>
      </w:r>
      <w:r>
        <w:rPr>
          <w:rFonts w:eastAsia="Trebuchet MS"/>
        </w:rPr>
        <w:t xml:space="preserve"> (1) Înscrierea candidaților se face în spaţii special amenajate prin grija fiecărei facultăţi.</w:t>
      </w:r>
    </w:p>
    <w:p w14:paraId="0173471F" w14:textId="77777777" w:rsidR="004B5924" w:rsidRDefault="004808C1">
      <w:pPr>
        <w:pStyle w:val="Normal1"/>
        <w:spacing w:before="120" w:after="120" w:line="360" w:lineRule="auto"/>
        <w:jc w:val="both"/>
        <w:rPr>
          <w:rFonts w:eastAsia="Trebuchet MS"/>
        </w:rPr>
      </w:pPr>
      <w:r>
        <w:rPr>
          <w:rFonts w:eastAsia="Trebuchet MS"/>
        </w:rPr>
        <w:t>(2) Facultăţile stabilesc, potrivit legii, măsuri privind egalitatea de şanse pentru persoanele cu dizabilități asigurând, acolo unde este necesar, suport adiţional adaptat nevoilor acestei categorii de candidați, sprijinind accesul acestora în instituţiile de învăţământ superior.</w:t>
      </w:r>
    </w:p>
    <w:p w14:paraId="3E7C2F6D" w14:textId="77777777" w:rsidR="004B5924" w:rsidRDefault="004808C1">
      <w:pPr>
        <w:pStyle w:val="Normal1"/>
        <w:spacing w:before="120" w:after="120" w:line="360" w:lineRule="auto"/>
        <w:jc w:val="both"/>
        <w:rPr>
          <w:rFonts w:eastAsia="Trebuchet MS"/>
        </w:rPr>
      </w:pPr>
      <w:r>
        <w:rPr>
          <w:rFonts w:eastAsia="Trebuchet MS"/>
        </w:rPr>
        <w:t xml:space="preserve">(3) </w:t>
      </w:r>
      <w:r>
        <w:t>Pe întreaga perioadă de desfășurare a concursului de admitere, comisiile de admitere, respectiv comisiile de contestaţii, alcătuite la nivelul fiecărei școli doctorale, vor beneficia de spații cu dotări adecvate. Totodată, aceste comisii vor beneficia de spații adecvate pentru realizarea înscrierii candidaților la examen, respectiv pentru desfășurarea probelor de concurs. Spațiile în care își desfășoară activitatea comisiile de admitere şi de contestaţii trebuie să fie propice întocmirii, multiplicării, preluării, păstrării și difuzării subiectelor propuse, păstrării și evaluării lucrărilor scrise ale candidaților, toate acestea fiind realizate în deplină securitate.</w:t>
      </w:r>
    </w:p>
    <w:p w14:paraId="3D344729" w14:textId="77777777" w:rsidR="004B5924" w:rsidRDefault="004808C1">
      <w:pPr>
        <w:spacing w:before="120" w:line="360" w:lineRule="auto"/>
        <w:jc w:val="both"/>
      </w:pPr>
      <w:r>
        <w:t>(4) În spațiile în care se desfășoară activități conexe concursului de admitere la studiile doctorale este strict interzis accesul persoanelor care nu au atribuții în desfășurarea concursului de admitere.</w:t>
      </w:r>
    </w:p>
    <w:p w14:paraId="199AB7AE" w14:textId="77777777" w:rsidR="004B5924" w:rsidRDefault="004808C1">
      <w:pPr>
        <w:spacing w:before="120" w:line="360" w:lineRule="auto"/>
        <w:jc w:val="both"/>
        <w:rPr>
          <w:strike/>
        </w:rPr>
      </w:pPr>
      <w:r>
        <w:t>(5) Este strict interzisă utilizarea dispozitivelor mobile sau a altor mijloace de comunicație în sălile în care se elaborează subiectele, în sălile de concurs, respectiv în sălile de evaluare/reevaluare a tezelor candidaților.</w:t>
      </w:r>
    </w:p>
    <w:p w14:paraId="5F854222" w14:textId="77777777" w:rsidR="004B5924" w:rsidRDefault="004808C1">
      <w:pPr>
        <w:spacing w:before="120" w:line="360" w:lineRule="auto"/>
        <w:jc w:val="both"/>
      </w:pPr>
      <w:r>
        <w:t xml:space="preserve">(6) Subiectele probelor de concurs orale și/sau scrise rămân secrete până în momentul susținerii probelor. </w:t>
      </w:r>
    </w:p>
    <w:p w14:paraId="16470DD6" w14:textId="77777777" w:rsidR="004B5924" w:rsidRDefault="004808C1">
      <w:pPr>
        <w:spacing w:before="120" w:line="360" w:lineRule="auto"/>
        <w:jc w:val="both"/>
        <w:rPr>
          <w:rFonts w:eastAsia="Trebuchet MS"/>
          <w:color w:val="000000"/>
        </w:rPr>
      </w:pPr>
      <w:r>
        <w:t xml:space="preserve">(7) </w:t>
      </w:r>
      <w:r>
        <w:rPr>
          <w:rFonts w:eastAsia="Trebuchet MS"/>
          <w:color w:val="000000"/>
        </w:rPr>
        <w:t>Înscrierea la concursul de admitere se face personal, pe baza cărţii de identitate/ paşaportului şi a celorlalte documente prevăzute pentru înscriere sau, în numele candidatului, de către o altă persoană pe bază de procură notarială.</w:t>
      </w:r>
    </w:p>
    <w:p w14:paraId="3EEA8B68" w14:textId="77777777" w:rsidR="004B5924" w:rsidRDefault="004808C1">
      <w:pPr>
        <w:spacing w:before="120" w:line="360" w:lineRule="auto"/>
        <w:jc w:val="both"/>
        <w:rPr>
          <w:strike/>
        </w:rPr>
      </w:pPr>
      <w:r>
        <w:rPr>
          <w:rFonts w:eastAsia="Trebuchet MS"/>
          <w:color w:val="000000"/>
        </w:rPr>
        <w:t xml:space="preserve">(8) </w:t>
      </w:r>
      <w:r>
        <w:t>Înscrierea candidaţilor se poate desfăşura şi prin e-mail. În acest caz, candidații vor trimite pe e-mail la secretariatele şcolilor doctorale (adresele de mail se găsesc pe site-ul UAIC) copii scanate în format PDF după documentele necesare, urmând ca diploma de licență și cea de master precum și foile matricole sau suplimentele la diplome să fie aduse într-un anumit interval  de timp după înscriere, stabilit de către fiecare școală doctorală. Candidații își asumă responsabilitatea referitoare la autenticitatea și corespondența dintre documentele digitale/scanate și cele originale care urmează să fie depuse la dosarul candidatului.</w:t>
      </w:r>
    </w:p>
    <w:p w14:paraId="46F2E541" w14:textId="4D92A201" w:rsidR="004B5924" w:rsidRDefault="00425293" w:rsidP="00425293">
      <w:pPr>
        <w:pStyle w:val="ListParagraph"/>
        <w:tabs>
          <w:tab w:val="left" w:pos="993"/>
        </w:tabs>
        <w:spacing w:line="360" w:lineRule="auto"/>
        <w:ind w:left="0"/>
        <w:jc w:val="both"/>
        <w:rPr>
          <w:b/>
          <w:spacing w:val="-3"/>
        </w:rPr>
      </w:pPr>
      <w:r w:rsidRPr="00425293">
        <w:rPr>
          <w:b/>
          <w:bCs/>
          <w:spacing w:val="-3"/>
        </w:rPr>
        <w:t>Art. 1</w:t>
      </w:r>
      <w:r w:rsidR="005C40BA">
        <w:rPr>
          <w:b/>
          <w:bCs/>
          <w:spacing w:val="-3"/>
        </w:rPr>
        <w:t>2</w:t>
      </w:r>
      <w:r w:rsidRPr="00425293">
        <w:rPr>
          <w:b/>
          <w:bCs/>
          <w:spacing w:val="-3"/>
        </w:rPr>
        <w:t>.</w:t>
      </w:r>
      <w:r>
        <w:rPr>
          <w:spacing w:val="-3"/>
        </w:rPr>
        <w:t xml:space="preserve"> (1) Se pot înscrie și pot participa la examenul de admitere la studii de doctorat:</w:t>
      </w:r>
    </w:p>
    <w:p w14:paraId="6F51CB99" w14:textId="77777777" w:rsidR="004B5924" w:rsidRDefault="004808C1">
      <w:pPr>
        <w:pStyle w:val="ListParagraph"/>
        <w:numPr>
          <w:ilvl w:val="0"/>
          <w:numId w:val="9"/>
        </w:numPr>
        <w:tabs>
          <w:tab w:val="left" w:pos="-720"/>
        </w:tabs>
        <w:suppressAutoHyphens/>
        <w:spacing w:line="360" w:lineRule="auto"/>
        <w:jc w:val="both"/>
        <w:rPr>
          <w:spacing w:val="-3"/>
        </w:rPr>
      </w:pPr>
      <w:r>
        <w:rPr>
          <w:spacing w:val="-3"/>
        </w:rPr>
        <w:t>cetățenii europeni care au început demersurile la Centrul Național de Recunoaștere și Echivalare a Diplomelor (CNRED) în vederea recunoașterii studiilor anterioare, dar care nu au primit încă documentul de soluționare a dosarului de la Minister, în baza unei Declarații pe propria răspundere privind acest demers;</w:t>
      </w:r>
    </w:p>
    <w:p w14:paraId="2FFC9662" w14:textId="77777777" w:rsidR="004B5924" w:rsidRDefault="004808C1">
      <w:pPr>
        <w:pStyle w:val="ListParagraph"/>
        <w:numPr>
          <w:ilvl w:val="0"/>
          <w:numId w:val="9"/>
        </w:numPr>
        <w:tabs>
          <w:tab w:val="left" w:pos="-720"/>
        </w:tabs>
        <w:suppressAutoHyphens/>
        <w:spacing w:line="360" w:lineRule="auto"/>
        <w:jc w:val="both"/>
        <w:rPr>
          <w:spacing w:val="-3"/>
        </w:rPr>
      </w:pPr>
      <w:r>
        <w:rPr>
          <w:spacing w:val="-3"/>
        </w:rPr>
        <w:t>candidații proveniți din state terțe care au început demersurile la Direcția Generală Relații Internaționale și Afaceri Europene  (DGRIAE)  pentru a obține acceptul la studii, dar care nu au primit încă documentul de soluționare a dosarului de la Minister în baza unei Declarații pe propria răspundere privind acest demers.</w:t>
      </w:r>
    </w:p>
    <w:p w14:paraId="0821F35D" w14:textId="77777777" w:rsidR="004B5924" w:rsidRDefault="004808C1">
      <w:pPr>
        <w:tabs>
          <w:tab w:val="left" w:pos="-720"/>
        </w:tabs>
        <w:suppressAutoHyphens/>
        <w:spacing w:line="360" w:lineRule="auto"/>
        <w:jc w:val="both"/>
        <w:rPr>
          <w:spacing w:val="-3"/>
        </w:rPr>
      </w:pPr>
      <w:r>
        <w:rPr>
          <w:spacing w:val="-3"/>
        </w:rPr>
        <w:t xml:space="preserve">(2) Candidații respectivi pot fi declarați admiși condiționat de prezentarea documentelor emise de CNRED, respectiv de DGRIAE, până cel târziu la finalizarea Programului de pregătire universitară avansată (PPUA) din primul semestru. În cazul neprezentării respectivelor documente la data specificată, candidații își pierd statutul de admis condiționat. </w:t>
      </w:r>
    </w:p>
    <w:p w14:paraId="1981EE62" w14:textId="67884C08" w:rsidR="004B5924" w:rsidRDefault="00425293" w:rsidP="00425293">
      <w:pPr>
        <w:pStyle w:val="ListParagraph"/>
        <w:tabs>
          <w:tab w:val="left" w:pos="993"/>
        </w:tabs>
        <w:spacing w:line="360" w:lineRule="auto"/>
        <w:ind w:left="0"/>
        <w:jc w:val="both"/>
        <w:rPr>
          <w:rFonts w:eastAsia="Trebuchet MS"/>
        </w:rPr>
      </w:pPr>
      <w:r w:rsidRPr="00425293">
        <w:rPr>
          <w:b/>
          <w:bCs/>
        </w:rPr>
        <w:t>Art. 1</w:t>
      </w:r>
      <w:r w:rsidR="005C40BA">
        <w:rPr>
          <w:b/>
          <w:bCs/>
        </w:rPr>
        <w:t>3</w:t>
      </w:r>
      <w:r w:rsidRPr="00425293">
        <w:rPr>
          <w:b/>
          <w:bCs/>
        </w:rPr>
        <w:t>.</w:t>
      </w:r>
      <w:r>
        <w:t xml:space="preserve"> (1) Conținutul dosarului de înscriere:</w:t>
      </w:r>
    </w:p>
    <w:p w14:paraId="28A2F6E7" w14:textId="77777777" w:rsidR="004B5924" w:rsidRDefault="004808C1">
      <w:pPr>
        <w:pStyle w:val="Default"/>
        <w:spacing w:line="360" w:lineRule="auto"/>
        <w:jc w:val="both"/>
        <w:rPr>
          <w:lang w:val="ro-RO"/>
        </w:rPr>
      </w:pPr>
      <w:r>
        <w:rPr>
          <w:lang w:val="ro-RO"/>
        </w:rPr>
        <w:t>− fişa de înscriere tip în care se va menţiona opţiunea pentru conducătorul de doctorat;</w:t>
      </w:r>
    </w:p>
    <w:p w14:paraId="0EE6B278" w14:textId="77777777" w:rsidR="004B5924" w:rsidRDefault="004808C1">
      <w:pPr>
        <w:pStyle w:val="Default"/>
        <w:spacing w:line="360" w:lineRule="auto"/>
        <w:jc w:val="both"/>
        <w:rPr>
          <w:lang w:val="ro-RO"/>
        </w:rPr>
      </w:pPr>
      <w:r>
        <w:rPr>
          <w:lang w:val="ro-RO"/>
        </w:rPr>
        <w:t xml:space="preserve">− </w:t>
      </w:r>
      <w:r>
        <w:rPr>
          <w:i/>
          <w:lang w:val="ro-RO"/>
        </w:rPr>
        <w:t>curriculum vitae</w:t>
      </w:r>
      <w:r>
        <w:rPr>
          <w:lang w:val="ro-RO"/>
        </w:rPr>
        <w:t>;</w:t>
      </w:r>
    </w:p>
    <w:p w14:paraId="43596210" w14:textId="77777777" w:rsidR="004B5924" w:rsidRDefault="004808C1">
      <w:pPr>
        <w:pStyle w:val="Default"/>
        <w:spacing w:line="360" w:lineRule="auto"/>
        <w:jc w:val="both"/>
        <w:rPr>
          <w:lang w:val="ro-RO"/>
        </w:rPr>
      </w:pPr>
      <w:r>
        <w:rPr>
          <w:lang w:val="ro-RO"/>
        </w:rPr>
        <w:t>− lista lucrărilor ştiinţifice ale candidatului (dacă este cazul);</w:t>
      </w:r>
    </w:p>
    <w:p w14:paraId="5713C9B1" w14:textId="77777777" w:rsidR="004B5924" w:rsidRPr="00502431" w:rsidRDefault="004808C1">
      <w:pPr>
        <w:pStyle w:val="Default"/>
        <w:spacing w:line="360" w:lineRule="auto"/>
        <w:jc w:val="both"/>
        <w:rPr>
          <w:color w:val="auto"/>
          <w:lang w:val="ro-RO"/>
        </w:rPr>
      </w:pPr>
      <w:r>
        <w:rPr>
          <w:lang w:val="ro-RO"/>
        </w:rPr>
        <w:t xml:space="preserve">− atestat de cunoaştere a unei limbi străine, eliberat de către Facultatea de Litere a Universităţii „Alexandru Ioan Cuza” din Iaşi, înainte de susţinerea examenului de admitere, cu cel mult doi ani; excepţie fac candidații care au absolvit o specializare simplă sau dublă, în titulatura căreia apare o limbă străină, a unei facultăţi acreditate, au testul DALF, TOEFEL sau alte certificate internaţionale recunoscute, precum și certificatele emise de organismele de testare specifice ale universitaților din consorțiul Universitaria, aflate în perioada de valabilitate. Nivelul de cunoaștere a unei limbi străine </w:t>
      </w:r>
      <w:r w:rsidRPr="00502431">
        <w:rPr>
          <w:color w:val="auto"/>
          <w:lang w:val="ro-RO"/>
        </w:rPr>
        <w:t>este stabilit de fiecare școală doctorală;</w:t>
      </w:r>
    </w:p>
    <w:p w14:paraId="2D2D68E3" w14:textId="553D5AF7" w:rsidR="004B5924" w:rsidRPr="00502431" w:rsidRDefault="004808C1">
      <w:pPr>
        <w:pStyle w:val="Default"/>
        <w:spacing w:line="360" w:lineRule="auto"/>
        <w:jc w:val="both"/>
        <w:rPr>
          <w:color w:val="auto"/>
          <w:lang w:val="ro-RO"/>
        </w:rPr>
      </w:pPr>
      <w:r w:rsidRPr="00502431">
        <w:rPr>
          <w:color w:val="auto"/>
          <w:lang w:val="ro-RO"/>
        </w:rPr>
        <w:t>− original</w:t>
      </w:r>
      <w:r w:rsidRPr="00502431">
        <w:rPr>
          <w:color w:val="auto"/>
          <w:vertAlign w:val="superscript"/>
          <w:lang w:val="ro-RO"/>
        </w:rPr>
        <w:t>*</w:t>
      </w:r>
      <w:r w:rsidRPr="00502431">
        <w:rPr>
          <w:color w:val="auto"/>
          <w:lang w:val="ro-RO"/>
        </w:rPr>
        <w:t xml:space="preserve"> și </w:t>
      </w:r>
      <w:bookmarkStart w:id="7" w:name="_Hlk155608997"/>
      <w:r w:rsidRPr="00502431">
        <w:rPr>
          <w:color w:val="auto"/>
          <w:lang w:val="ro-RO"/>
        </w:rPr>
        <w:t>c</w:t>
      </w:r>
      <w:r w:rsidR="001B687C" w:rsidRPr="00502431">
        <w:rPr>
          <w:color w:val="auto"/>
          <w:lang w:val="ro-RO"/>
        </w:rPr>
        <w:t>ertificarea conform cu originalul</w:t>
      </w:r>
      <w:r w:rsidRPr="00502431">
        <w:rPr>
          <w:color w:val="auto"/>
          <w:lang w:val="ro-RO"/>
        </w:rPr>
        <w:t xml:space="preserve"> </w:t>
      </w:r>
      <w:bookmarkEnd w:id="7"/>
      <w:r w:rsidRPr="00502431">
        <w:rPr>
          <w:color w:val="auto"/>
          <w:lang w:val="ro-RO"/>
        </w:rPr>
        <w:t>a certificatului de naştere;</w:t>
      </w:r>
    </w:p>
    <w:p w14:paraId="421DA149" w14:textId="309337E2" w:rsidR="004B5924" w:rsidRPr="00502431" w:rsidRDefault="004808C1">
      <w:pPr>
        <w:pStyle w:val="Default"/>
        <w:spacing w:line="360" w:lineRule="auto"/>
        <w:jc w:val="both"/>
        <w:rPr>
          <w:color w:val="auto"/>
          <w:lang w:val="ro-RO"/>
        </w:rPr>
      </w:pPr>
      <w:r w:rsidRPr="00502431">
        <w:rPr>
          <w:color w:val="auto"/>
          <w:lang w:val="ro-RO"/>
        </w:rPr>
        <w:t>− original</w:t>
      </w:r>
      <w:r w:rsidRPr="00502431">
        <w:rPr>
          <w:color w:val="auto"/>
          <w:vertAlign w:val="superscript"/>
          <w:lang w:val="ro-RO"/>
        </w:rPr>
        <w:t>*</w:t>
      </w:r>
      <w:r w:rsidRPr="00502431">
        <w:rPr>
          <w:color w:val="auto"/>
          <w:lang w:val="ro-RO"/>
        </w:rPr>
        <w:t xml:space="preserve"> și </w:t>
      </w:r>
      <w:r w:rsidR="001B687C" w:rsidRPr="00502431">
        <w:rPr>
          <w:color w:val="auto"/>
          <w:lang w:val="ro-RO"/>
        </w:rPr>
        <w:t xml:space="preserve">certificarea conform cu originalul </w:t>
      </w:r>
      <w:r w:rsidRPr="00502431">
        <w:rPr>
          <w:color w:val="auto"/>
          <w:lang w:val="ro-RO"/>
        </w:rPr>
        <w:t>a actului de identitate;</w:t>
      </w:r>
    </w:p>
    <w:p w14:paraId="05C138AD" w14:textId="66BEEB7F" w:rsidR="004B5924" w:rsidRPr="00502431" w:rsidRDefault="004808C1">
      <w:pPr>
        <w:pStyle w:val="Default"/>
        <w:spacing w:line="360" w:lineRule="auto"/>
        <w:jc w:val="both"/>
        <w:rPr>
          <w:color w:val="auto"/>
          <w:lang w:val="ro-RO"/>
        </w:rPr>
      </w:pPr>
      <w:r w:rsidRPr="00502431">
        <w:rPr>
          <w:color w:val="auto"/>
          <w:lang w:val="ro-RO"/>
        </w:rPr>
        <w:t>− original</w:t>
      </w:r>
      <w:r w:rsidRPr="00502431">
        <w:rPr>
          <w:color w:val="auto"/>
          <w:vertAlign w:val="superscript"/>
          <w:lang w:val="ro-RO"/>
        </w:rPr>
        <w:t>*</w:t>
      </w:r>
      <w:r w:rsidRPr="00502431">
        <w:rPr>
          <w:color w:val="auto"/>
          <w:lang w:val="ro-RO"/>
        </w:rPr>
        <w:t xml:space="preserve"> și </w:t>
      </w:r>
      <w:r w:rsidR="001B687C" w:rsidRPr="00502431">
        <w:rPr>
          <w:color w:val="auto"/>
          <w:lang w:val="ro-RO"/>
        </w:rPr>
        <w:t xml:space="preserve">certificarea conform cu originalul </w:t>
      </w:r>
      <w:r w:rsidRPr="00502431">
        <w:rPr>
          <w:color w:val="auto"/>
          <w:lang w:val="ro-RO"/>
        </w:rPr>
        <w:t>a certificatului de căsătorie / de schimbare a numelui, dacă este cazul;</w:t>
      </w:r>
    </w:p>
    <w:p w14:paraId="60A7FF71" w14:textId="7CC72EAC" w:rsidR="004B5924" w:rsidRPr="00502431" w:rsidRDefault="004808C1">
      <w:pPr>
        <w:pStyle w:val="Default"/>
        <w:spacing w:line="360" w:lineRule="auto"/>
        <w:jc w:val="both"/>
        <w:rPr>
          <w:color w:val="auto"/>
          <w:lang w:val="ro-RO"/>
        </w:rPr>
      </w:pPr>
      <w:r w:rsidRPr="00502431">
        <w:rPr>
          <w:color w:val="auto"/>
          <w:lang w:val="ro-RO"/>
        </w:rPr>
        <w:t>− original</w:t>
      </w:r>
      <w:r w:rsidRPr="00502431">
        <w:rPr>
          <w:color w:val="auto"/>
          <w:vertAlign w:val="superscript"/>
          <w:lang w:val="ro-RO"/>
        </w:rPr>
        <w:t>*</w:t>
      </w:r>
      <w:r w:rsidRPr="00502431">
        <w:rPr>
          <w:color w:val="auto"/>
          <w:lang w:val="ro-RO"/>
        </w:rPr>
        <w:t xml:space="preserve"> și </w:t>
      </w:r>
      <w:r w:rsidR="001B687C" w:rsidRPr="00502431">
        <w:rPr>
          <w:color w:val="auto"/>
          <w:lang w:val="ro-RO"/>
        </w:rPr>
        <w:t xml:space="preserve">certificarea conform cu originalul </w:t>
      </w:r>
      <w:r w:rsidRPr="00502431">
        <w:rPr>
          <w:color w:val="auto"/>
          <w:lang w:val="ro-RO"/>
        </w:rPr>
        <w:t>a diplomei de bacalaureat sau un act echivalent;</w:t>
      </w:r>
    </w:p>
    <w:p w14:paraId="27FF6D8A" w14:textId="3B929430" w:rsidR="004B5924" w:rsidRPr="00502431" w:rsidRDefault="004808C1">
      <w:pPr>
        <w:pStyle w:val="Default"/>
        <w:spacing w:line="360" w:lineRule="auto"/>
        <w:jc w:val="both"/>
        <w:rPr>
          <w:color w:val="auto"/>
          <w:lang w:val="ro-RO"/>
        </w:rPr>
      </w:pPr>
      <w:r w:rsidRPr="00502431">
        <w:rPr>
          <w:color w:val="auto"/>
          <w:lang w:val="ro-RO"/>
        </w:rPr>
        <w:t>− original</w:t>
      </w:r>
      <w:r w:rsidRPr="00502431">
        <w:rPr>
          <w:color w:val="auto"/>
          <w:vertAlign w:val="superscript"/>
          <w:lang w:val="ro-RO"/>
        </w:rPr>
        <w:t>*</w:t>
      </w:r>
      <w:r w:rsidRPr="00502431">
        <w:rPr>
          <w:color w:val="auto"/>
          <w:lang w:val="ro-RO"/>
        </w:rPr>
        <w:t xml:space="preserve"> și </w:t>
      </w:r>
      <w:r w:rsidR="001B687C" w:rsidRPr="00502431">
        <w:rPr>
          <w:color w:val="auto"/>
          <w:lang w:val="ro-RO"/>
        </w:rPr>
        <w:t xml:space="preserve">certificarea conform cu originalul </w:t>
      </w:r>
      <w:r w:rsidRPr="00502431">
        <w:rPr>
          <w:color w:val="auto"/>
          <w:lang w:val="ro-RO"/>
        </w:rPr>
        <w:t>a diplomei de licenţă şi foaia matricolă sau suplimentul la diplomă;</w:t>
      </w:r>
    </w:p>
    <w:p w14:paraId="0D1A18A9" w14:textId="1DCF7B9D" w:rsidR="004B5924" w:rsidRPr="00502431" w:rsidRDefault="004808C1">
      <w:pPr>
        <w:pStyle w:val="Default"/>
        <w:spacing w:line="360" w:lineRule="auto"/>
        <w:jc w:val="both"/>
        <w:rPr>
          <w:color w:val="auto"/>
          <w:lang w:val="ro-RO"/>
        </w:rPr>
      </w:pPr>
      <w:r w:rsidRPr="00502431">
        <w:rPr>
          <w:color w:val="auto"/>
          <w:lang w:val="ro-RO"/>
        </w:rPr>
        <w:t>− original</w:t>
      </w:r>
      <w:r w:rsidRPr="00502431">
        <w:rPr>
          <w:color w:val="auto"/>
          <w:vertAlign w:val="superscript"/>
          <w:lang w:val="ro-RO"/>
        </w:rPr>
        <w:t>*</w:t>
      </w:r>
      <w:r w:rsidRPr="00502431">
        <w:rPr>
          <w:color w:val="auto"/>
          <w:lang w:val="ro-RO"/>
        </w:rPr>
        <w:t xml:space="preserve"> și </w:t>
      </w:r>
      <w:r w:rsidR="001B687C" w:rsidRPr="00502431">
        <w:rPr>
          <w:color w:val="auto"/>
          <w:lang w:val="ro-RO"/>
        </w:rPr>
        <w:t xml:space="preserve">certificarea conform cu originalul </w:t>
      </w:r>
      <w:r w:rsidRPr="00502431">
        <w:rPr>
          <w:color w:val="auto"/>
          <w:lang w:val="ro-RO"/>
        </w:rPr>
        <w:t>a diplomei de masterat şi foaia matricolă sau suplimentul la diplomă (pentru absolvenţii de masterat din anul universitar curent, adeverinţa de absolvire şi situaţia şcolară, eliberate de secretariatele facultăţilor);</w:t>
      </w:r>
    </w:p>
    <w:p w14:paraId="3D30B07C" w14:textId="77777777" w:rsidR="004B5924" w:rsidRPr="00502431" w:rsidRDefault="004808C1">
      <w:pPr>
        <w:pStyle w:val="Default"/>
        <w:spacing w:line="360" w:lineRule="auto"/>
        <w:jc w:val="both"/>
        <w:rPr>
          <w:color w:val="auto"/>
          <w:lang w:val="ro-RO"/>
        </w:rPr>
      </w:pPr>
      <w:r w:rsidRPr="00502431">
        <w:rPr>
          <w:color w:val="auto"/>
          <w:lang w:val="ro-RO"/>
        </w:rPr>
        <w:t>− alte acte specifice domeniilor (Drept, Teologie, Știința Sportului și Educației Fizice);</w:t>
      </w:r>
    </w:p>
    <w:p w14:paraId="0FEF5B84" w14:textId="77777777" w:rsidR="004B5924" w:rsidRPr="00502431" w:rsidRDefault="004808C1">
      <w:pPr>
        <w:pStyle w:val="Default"/>
        <w:spacing w:line="360" w:lineRule="auto"/>
        <w:jc w:val="both"/>
        <w:rPr>
          <w:color w:val="auto"/>
          <w:lang w:val="ro-RO"/>
        </w:rPr>
      </w:pPr>
      <w:r w:rsidRPr="00502431">
        <w:rPr>
          <w:color w:val="auto"/>
          <w:lang w:val="ro-RO"/>
        </w:rPr>
        <w:t>− chitanţa de achitare a taxei de înscriere.</w:t>
      </w:r>
    </w:p>
    <w:p w14:paraId="6C96A1F4" w14:textId="77777777" w:rsidR="004B5924" w:rsidRPr="00502431" w:rsidRDefault="004808C1">
      <w:pPr>
        <w:pStyle w:val="Default"/>
        <w:spacing w:line="360" w:lineRule="auto"/>
        <w:jc w:val="both"/>
        <w:rPr>
          <w:color w:val="auto"/>
          <w:lang w:val="fr-BE"/>
        </w:rPr>
      </w:pPr>
      <w:r w:rsidRPr="00502431">
        <w:rPr>
          <w:color w:val="auto"/>
          <w:lang w:val="ro-RO"/>
        </w:rPr>
        <w:t>− acordul de confidenţialitate - Anexa 5.</w:t>
      </w:r>
    </w:p>
    <w:p w14:paraId="69D00706" w14:textId="77777777" w:rsidR="004B5924" w:rsidRDefault="004808C1">
      <w:pPr>
        <w:pStyle w:val="Default"/>
        <w:spacing w:line="360" w:lineRule="auto"/>
        <w:jc w:val="both"/>
        <w:rPr>
          <w:lang w:val="ro-RO"/>
        </w:rPr>
      </w:pPr>
      <w:r>
        <w:rPr>
          <w:lang w:val="ro-RO"/>
        </w:rPr>
        <w:tab/>
        <w:t>* Documentele originale se restituie candidatului după certificarea conformităţii cu originalul a copiilor documentelor de către membrul/membrii Comisiei de admiterecare are/au atribuţii desemnate în acest sens.</w:t>
      </w:r>
    </w:p>
    <w:p w14:paraId="6CAA54E8" w14:textId="77777777" w:rsidR="004B5924" w:rsidRDefault="004808C1">
      <w:pPr>
        <w:pStyle w:val="Default"/>
        <w:spacing w:line="360" w:lineRule="auto"/>
        <w:jc w:val="both"/>
        <w:rPr>
          <w:lang w:val="ro-RO"/>
        </w:rPr>
      </w:pPr>
      <w:r>
        <w:rPr>
          <w:lang w:val="ro-RO"/>
        </w:rPr>
        <w:t xml:space="preserve">(2) Dosarele de înscriere la concursul de admitere la studiile doctorale </w:t>
      </w:r>
      <w:r>
        <w:rPr>
          <w:rFonts w:eastAsia="Trebuchet MS"/>
          <w:lang w:val="ro-RO"/>
        </w:rPr>
        <w:t>vor fi păstrate în condiții de securitate (dulapuri prevăzute cu încuietoare, fiind permis accesul doar personalului autorizat), pe toată perioada desfășurării concursului.</w:t>
      </w:r>
    </w:p>
    <w:p w14:paraId="5D883F6A" w14:textId="77777777" w:rsidR="004B5924" w:rsidRDefault="004808C1">
      <w:pPr>
        <w:pStyle w:val="Default"/>
        <w:spacing w:line="360" w:lineRule="auto"/>
        <w:jc w:val="both"/>
        <w:rPr>
          <w:lang w:val="ro-RO"/>
        </w:rPr>
      </w:pPr>
      <w:r>
        <w:rPr>
          <w:rFonts w:eastAsia="Trebuchet MS"/>
          <w:lang w:val="ro-RO"/>
        </w:rPr>
        <w:t>(3) Candidaţii aparținând etniei romilor vor trebui să prezinte la înscriere şi o recomandare scrisă emisă de una din organizaţiile legal constituite ale romilor, indiferent de domeniul acesteia de activitate, care să ateste că respectivul candidat face parte din etnia romă şi nu apartenența la organizaţia în cauză.</w:t>
      </w:r>
    </w:p>
    <w:p w14:paraId="4EF5BE84" w14:textId="77777777" w:rsidR="004B5924" w:rsidRDefault="004808C1">
      <w:pPr>
        <w:pStyle w:val="Default"/>
        <w:spacing w:line="360" w:lineRule="auto"/>
        <w:jc w:val="both"/>
        <w:rPr>
          <w:lang w:val="ro-RO"/>
        </w:rPr>
      </w:pPr>
      <w:r>
        <w:rPr>
          <w:lang w:val="ro-RO"/>
        </w:rPr>
        <w:t xml:space="preserve">(4) Cuantumul taxelor de înscriere la admitere este </w:t>
      </w:r>
      <w:r>
        <w:rPr>
          <w:color w:val="auto"/>
          <w:lang w:val="ro-RO"/>
        </w:rPr>
        <w:t>cuprins între 50 lei și 500 lei</w:t>
      </w:r>
      <w:r>
        <w:rPr>
          <w:lang w:val="ro-RO"/>
        </w:rPr>
        <w:t xml:space="preserve">, la propunerea fiecărei școli doctorale, cu aprobarea Consiliului de Administrație și a Senatului UAIC. Valoarea taxei va fi adusă la cunoştinţa candidaților prin afişare sau postare pe paginile web ale școlilor doctorale, împreună cu condiţiile de admitere. Taxa de înscriere nu se restituie. </w:t>
      </w:r>
    </w:p>
    <w:p w14:paraId="449AB534" w14:textId="3F751FF8" w:rsidR="004B5924" w:rsidRPr="005B57AE" w:rsidRDefault="004808C1">
      <w:pPr>
        <w:pStyle w:val="Default"/>
        <w:spacing w:line="360" w:lineRule="auto"/>
        <w:jc w:val="both"/>
        <w:rPr>
          <w:color w:val="auto"/>
          <w:lang w:val="ro-RO"/>
        </w:rPr>
      </w:pPr>
      <w:r>
        <w:rPr>
          <w:lang w:val="ro-RO"/>
        </w:rPr>
        <w:t>(5) Sunt scutiţi de plata taxei de înscriere, candidaţii (în vârstă de până la 25 ani şi aflaţi în întreţinerea părinţilor) care sunt copii ai personalului didactic (de predare şi auxiliar) în activitate, pensionat sau decedat.</w:t>
      </w:r>
      <w:r w:rsidR="00C35107" w:rsidRPr="00C35107">
        <w:t xml:space="preserve"> </w:t>
      </w:r>
      <w:r w:rsidR="00C35107" w:rsidRPr="005B57AE">
        <w:rPr>
          <w:color w:val="auto"/>
        </w:rPr>
        <w:t xml:space="preserve">Acești candidați </w:t>
      </w:r>
      <w:r w:rsidR="00C35107" w:rsidRPr="005B57AE">
        <w:rPr>
          <w:color w:val="auto"/>
          <w:lang w:val="ro-RO"/>
        </w:rPr>
        <w:t xml:space="preserve">beneficiază de gratuitate la cazare în cămine. </w:t>
      </w:r>
    </w:p>
    <w:p w14:paraId="7E267144" w14:textId="77777777" w:rsidR="004B5924" w:rsidRDefault="004808C1">
      <w:pPr>
        <w:pStyle w:val="Normal1"/>
        <w:spacing w:before="120" w:after="120" w:line="360" w:lineRule="auto"/>
        <w:jc w:val="both"/>
      </w:pPr>
      <w:r>
        <w:rPr>
          <w:rFonts w:eastAsia="Trebuchet MS"/>
        </w:rPr>
        <w:t>(6) Scutirea de taxa de înscriere se face numai pe baza actelor doveditoare prezentate de candidaţi comisiei de admitere. Aprobarea scutirii se face de către comisiile de înscriere ale fiecărei Școli doctorale.</w:t>
      </w:r>
    </w:p>
    <w:p w14:paraId="23D434B1" w14:textId="77777777" w:rsidR="004B5924" w:rsidRDefault="004808C1">
      <w:pPr>
        <w:spacing w:line="360" w:lineRule="auto"/>
        <w:jc w:val="both"/>
      </w:pPr>
      <w:r>
        <w:t>(7) Declaraţiile false sau uzul de fals în legătură cu orice document din dosarul de admitere atrag eliminarea din concursul de admitere şi aplicarea dispoziţiilor prevăzute în Codul Penal.</w:t>
      </w:r>
    </w:p>
    <w:p w14:paraId="1EF62EDD" w14:textId="11C9DFE6" w:rsidR="004B5924" w:rsidRDefault="00425293" w:rsidP="00425293">
      <w:pPr>
        <w:pStyle w:val="ListParagraph"/>
        <w:tabs>
          <w:tab w:val="left" w:pos="993"/>
        </w:tabs>
        <w:spacing w:line="360" w:lineRule="auto"/>
        <w:ind w:left="0"/>
        <w:jc w:val="both"/>
        <w:rPr>
          <w:b/>
        </w:rPr>
      </w:pPr>
      <w:r w:rsidRPr="00425293">
        <w:rPr>
          <w:b/>
          <w:bCs/>
        </w:rPr>
        <w:t>Art. 1</w:t>
      </w:r>
      <w:r w:rsidR="00885EEF">
        <w:rPr>
          <w:b/>
          <w:bCs/>
        </w:rPr>
        <w:t>4</w:t>
      </w:r>
      <w:r w:rsidRPr="00425293">
        <w:rPr>
          <w:b/>
          <w:bCs/>
        </w:rPr>
        <w:t>.</w:t>
      </w:r>
      <w:r>
        <w:t xml:space="preserve"> (1) Probele de concurs, scrise şi/sau orale, precum și criteriile de evaluare, selecție si departajare se stabilesc de către Consiliile şcolilor doctorale (Anexa 2). Tematica și bibliografia aferentă probelor de concurs se stabilesc de către Consiliile școlilor doctorale pentru fiecare domeniu de doctorat, în urma propunerilor tuturor conducătorilor de doctorat din respectivul domeniu.</w:t>
      </w:r>
    </w:p>
    <w:p w14:paraId="65708F7A" w14:textId="77777777" w:rsidR="004B5924" w:rsidRDefault="004808C1">
      <w:pPr>
        <w:pStyle w:val="Normal1"/>
        <w:spacing w:before="120" w:after="120" w:line="360" w:lineRule="auto"/>
        <w:jc w:val="both"/>
      </w:pPr>
      <w:r>
        <w:t>(2) Media minimă de admitere la studiile universitare de doctorat este de 8 (opt). La fiecare probă de concurs, candidații trebuie să obțină cel puțin media 7 (șapte). Școlile doctorale pot impune condiții privind media de admitere mai mare decât 8 (opt). Media se calculează cu două zecimale, fără rotunjire.</w:t>
      </w:r>
    </w:p>
    <w:p w14:paraId="2A3D2831" w14:textId="07840F25" w:rsidR="004B5924" w:rsidRDefault="004808C1">
      <w:pPr>
        <w:pStyle w:val="Default"/>
        <w:spacing w:line="360" w:lineRule="auto"/>
        <w:jc w:val="both"/>
        <w:rPr>
          <w:color w:val="auto"/>
          <w:lang w:val="ro-RO"/>
        </w:rPr>
      </w:pPr>
      <w:r>
        <w:rPr>
          <w:color w:val="auto"/>
          <w:lang w:val="ro-RO"/>
        </w:rPr>
        <w:t>(3) În cazul mediilor egale, departajarea candidaților se face pe baza criteriilor de departajare stabilite de fiecare şcoală doctorală. Criteriile trebuie stabilite înaintea începerii înscrierii și vor fi în număr de cel puțin 3 (nota obținută la examenul de disertație, nota obținută la examenul de licență, media notelor la absolvirea masteratului</w:t>
      </w:r>
      <w:r w:rsidR="00E97C4C">
        <w:rPr>
          <w:color w:val="auto"/>
          <w:lang w:val="ro-RO"/>
        </w:rPr>
        <w:t xml:space="preserve"> </w:t>
      </w:r>
      <w:r w:rsidR="00885EEF">
        <w:rPr>
          <w:color w:val="auto"/>
          <w:lang w:val="ro-RO"/>
        </w:rPr>
        <w:t>etc</w:t>
      </w:r>
      <w:r>
        <w:rPr>
          <w:color w:val="auto"/>
          <w:lang w:val="ro-RO"/>
        </w:rPr>
        <w:t>).</w:t>
      </w:r>
      <w:r w:rsidR="00885EEF">
        <w:rPr>
          <w:color w:val="auto"/>
          <w:lang w:val="ro-RO"/>
        </w:rPr>
        <w:t xml:space="preserve"> </w:t>
      </w:r>
      <w:r>
        <w:rPr>
          <w:color w:val="auto"/>
          <w:lang w:val="ro-RO"/>
        </w:rPr>
        <w:t>În cazul în care nu există posibilitatea departajării candidaților prin media de la disertație și/sau media studiilor de master, acestea se înlocuiesc cu media de la licență și/sau media studiilor de licență.</w:t>
      </w:r>
    </w:p>
    <w:p w14:paraId="073BB6B9" w14:textId="77777777" w:rsidR="004B5924" w:rsidRDefault="004808C1">
      <w:pPr>
        <w:pStyle w:val="Default"/>
        <w:spacing w:line="360" w:lineRule="auto"/>
        <w:jc w:val="both"/>
        <w:rPr>
          <w:color w:val="auto"/>
          <w:lang w:val="ro-RO"/>
        </w:rPr>
      </w:pPr>
      <w:r>
        <w:rPr>
          <w:color w:val="auto"/>
          <w:lang w:val="ro-RO"/>
        </w:rPr>
        <w:t>(4) Depunerea eventualelor contestații se face în termen de 24 de ore de la momentul afișării rezultatelor. Nu se admit contestații pentru probele orale, de aptitudini sportive sau artistice. Decizia comisiei de contestații este definitivă.</w:t>
      </w:r>
    </w:p>
    <w:p w14:paraId="18DD7F4C" w14:textId="4522DB25" w:rsidR="004B5924" w:rsidRDefault="00425293" w:rsidP="00425293">
      <w:pPr>
        <w:pStyle w:val="ListParagraph"/>
        <w:tabs>
          <w:tab w:val="left" w:pos="993"/>
        </w:tabs>
        <w:spacing w:line="360" w:lineRule="auto"/>
        <w:ind w:left="0"/>
        <w:jc w:val="both"/>
        <w:rPr>
          <w:b/>
        </w:rPr>
      </w:pPr>
      <w:r w:rsidRPr="00425293">
        <w:rPr>
          <w:b/>
          <w:bCs/>
        </w:rPr>
        <w:t>Art. 1</w:t>
      </w:r>
      <w:r w:rsidR="00C91FD1">
        <w:rPr>
          <w:b/>
          <w:bCs/>
        </w:rPr>
        <w:t>5</w:t>
      </w:r>
      <w:r w:rsidRPr="00425293">
        <w:rPr>
          <w:b/>
          <w:bCs/>
        </w:rPr>
        <w:t>.</w:t>
      </w:r>
      <w:r>
        <w:t xml:space="preserve"> (1) Pentru studiile universitare de doctorat organizate într-o limbă străină, cunoaşterea respectivei limbi străine poate fi atestată printr-un document certificat care să confirme cunoașterea respectivei limbi străine, document eliberat de către Facultatea de Litere a Universităţii „Alexandru Ioan Cuza” din Iaşi, înainte de susţinerea examenului de admitere cu cel mult doi ani.  Excepţie fac candidații care au absolvit o specializare simplă sau dublă a unei facultăţi acreditate, în titulatura căreia apare respectiva străină. Pot fi depuse la dosar și alte certificate internaţionale recunoscute pentru limba străină respectivă precum și certificate, în perioada de valabilitate, emise de organismele de testare ale universităților din consorțiul Universitaria.</w:t>
      </w:r>
    </w:p>
    <w:p w14:paraId="046940E8" w14:textId="77777777" w:rsidR="004B5924" w:rsidRDefault="004808C1">
      <w:pPr>
        <w:pStyle w:val="Default"/>
        <w:spacing w:line="360" w:lineRule="auto"/>
        <w:jc w:val="both"/>
        <w:rPr>
          <w:color w:val="auto"/>
          <w:lang w:val="ro-RO"/>
        </w:rPr>
      </w:pPr>
      <w:r>
        <w:rPr>
          <w:color w:val="auto"/>
          <w:lang w:val="ro-RO"/>
        </w:rPr>
        <w:t>(2) Școlile doctorale asigură transparența procedurilor de evaluare și de selecție a candidaților și garantează accesul la aceste informații, inclusiv prin publicarea acestora pe pagina web a instituției.</w:t>
      </w:r>
    </w:p>
    <w:p w14:paraId="54EBC3E5" w14:textId="77777777" w:rsidR="004B5924" w:rsidRDefault="004808C1">
      <w:pPr>
        <w:pStyle w:val="Default"/>
        <w:spacing w:line="360" w:lineRule="auto"/>
        <w:jc w:val="both"/>
        <w:rPr>
          <w:color w:val="auto"/>
          <w:lang w:val="ro-RO"/>
        </w:rPr>
      </w:pPr>
      <w:r>
        <w:rPr>
          <w:color w:val="auto"/>
          <w:lang w:val="ro-RO"/>
        </w:rPr>
        <w:t>(3) Președinții comisiilor răspund de buna desfășurare a concursului de admitere, de respectarea normelor de calitate, de etică universitară și a legislației în vigoare.</w:t>
      </w:r>
    </w:p>
    <w:p w14:paraId="73C70A32" w14:textId="77777777" w:rsidR="004B5924" w:rsidRDefault="004808C1">
      <w:pPr>
        <w:keepLines/>
        <w:spacing w:line="360" w:lineRule="auto"/>
        <w:jc w:val="both"/>
      </w:pPr>
      <w:r>
        <w:t>(4) Informațiile despre admitere specifice fiecărei şcoli doctorale se publică pe pagina web de către fiecare școală doctorală și se afișează la avizierul școlii doctorale.</w:t>
      </w:r>
    </w:p>
    <w:p w14:paraId="35DF107C" w14:textId="77777777" w:rsidR="004B5924" w:rsidRDefault="004808C1">
      <w:pPr>
        <w:pStyle w:val="Heading1"/>
        <w:jc w:val="both"/>
        <w:rPr>
          <w:sz w:val="28"/>
          <w:szCs w:val="28"/>
        </w:rPr>
      </w:pPr>
      <w:bookmarkStart w:id="8" w:name="_Toc94688283"/>
      <w:r>
        <w:rPr>
          <w:sz w:val="28"/>
          <w:szCs w:val="28"/>
        </w:rPr>
        <w:t xml:space="preserve">CAPITOLUL V. REZULTATELE FINALE ALE ADMITERII </w:t>
      </w:r>
      <w:r>
        <w:rPr>
          <w:rFonts w:hint="eastAsia"/>
          <w:sz w:val="28"/>
          <w:szCs w:val="28"/>
        </w:rPr>
        <w:t>Ş</w:t>
      </w:r>
      <w:r>
        <w:rPr>
          <w:sz w:val="28"/>
          <w:szCs w:val="28"/>
        </w:rPr>
        <w:t xml:space="preserve">I </w:t>
      </w:r>
      <w:r>
        <w:rPr>
          <w:rFonts w:hint="eastAsia"/>
          <w:sz w:val="28"/>
          <w:szCs w:val="28"/>
        </w:rPr>
        <w:t>Î</w:t>
      </w:r>
      <w:r>
        <w:rPr>
          <w:sz w:val="28"/>
          <w:szCs w:val="28"/>
        </w:rPr>
        <w:t>NMATRICULAREA DOCTORANZILOR</w:t>
      </w:r>
      <w:bookmarkEnd w:id="8"/>
    </w:p>
    <w:p w14:paraId="49882350" w14:textId="77777777" w:rsidR="004B5924" w:rsidRDefault="004B5924">
      <w:pPr>
        <w:pStyle w:val="Default"/>
        <w:spacing w:line="360" w:lineRule="auto"/>
        <w:ind w:firstLine="708"/>
        <w:jc w:val="both"/>
        <w:rPr>
          <w:b/>
          <w:color w:val="auto"/>
          <w:lang w:val="ro-RO"/>
        </w:rPr>
      </w:pPr>
    </w:p>
    <w:p w14:paraId="74E662D4" w14:textId="77777777" w:rsidR="00C91FD1" w:rsidRDefault="00425293" w:rsidP="00C91FD1">
      <w:pPr>
        <w:pStyle w:val="ListParagraph"/>
        <w:tabs>
          <w:tab w:val="left" w:pos="993"/>
        </w:tabs>
        <w:spacing w:line="360" w:lineRule="auto"/>
        <w:ind w:left="0"/>
        <w:jc w:val="both"/>
      </w:pPr>
      <w:r w:rsidRPr="00425293">
        <w:rPr>
          <w:b/>
          <w:bCs/>
        </w:rPr>
        <w:t>Art. 1</w:t>
      </w:r>
      <w:r w:rsidR="00C91FD1">
        <w:rPr>
          <w:b/>
          <w:bCs/>
        </w:rPr>
        <w:t>6</w:t>
      </w:r>
      <w:r w:rsidRPr="00425293">
        <w:rPr>
          <w:b/>
          <w:bCs/>
        </w:rPr>
        <w:t>.</w:t>
      </w:r>
      <w:r>
        <w:t xml:space="preserve"> (1) Candidaţii declaraţi admişi în baza rezultatelor admiterii sunt înmatriculaţi, pentru anul </w:t>
      </w:r>
      <w:r w:rsidRPr="005B57AE">
        <w:t>universitar 202</w:t>
      </w:r>
      <w:r w:rsidR="00E97C4C" w:rsidRPr="005B57AE">
        <w:t>4</w:t>
      </w:r>
      <w:r w:rsidRPr="005B57AE">
        <w:t>-202</w:t>
      </w:r>
      <w:r w:rsidR="00E97C4C" w:rsidRPr="005B57AE">
        <w:t>5</w:t>
      </w:r>
      <w:r w:rsidRPr="005B57AE">
        <w:t xml:space="preserve">, prin </w:t>
      </w:r>
      <w:r>
        <w:t>Decizie a Rectorului UAIC.</w:t>
      </w:r>
    </w:p>
    <w:p w14:paraId="7D604C56" w14:textId="6375D8F4" w:rsidR="004B5924" w:rsidRPr="00C91FD1" w:rsidRDefault="00C91FD1" w:rsidP="00C91FD1">
      <w:pPr>
        <w:tabs>
          <w:tab w:val="left" w:pos="993"/>
        </w:tabs>
        <w:spacing w:line="360" w:lineRule="auto"/>
        <w:jc w:val="both"/>
        <w:rPr>
          <w:b/>
        </w:rPr>
      </w:pPr>
      <w:r>
        <w:t xml:space="preserve">(2) </w:t>
      </w:r>
      <w:r w:rsidR="004808C1">
        <w:t>Ordinea de clasificare rezultată în urma admiterii va fi utilizată și pentru repartizarea locurilor finanțate de la bugetul de stat, acestea revenind celor mai bine clasați candidați din fiecare domeniu, conform deciziilor comisiilor de admitere din fiecare școală doctorală.</w:t>
      </w:r>
    </w:p>
    <w:p w14:paraId="725D836A" w14:textId="2894F86F" w:rsidR="004B5924" w:rsidRDefault="004808C1" w:rsidP="00C91FD1">
      <w:pPr>
        <w:pStyle w:val="Default"/>
        <w:numPr>
          <w:ilvl w:val="0"/>
          <w:numId w:val="4"/>
        </w:numPr>
        <w:tabs>
          <w:tab w:val="left" w:pos="426"/>
        </w:tabs>
        <w:spacing w:line="360" w:lineRule="auto"/>
        <w:jc w:val="both"/>
        <w:rPr>
          <w:color w:val="auto"/>
          <w:lang w:val="ro-RO"/>
        </w:rPr>
      </w:pPr>
      <w:r>
        <w:rPr>
          <w:color w:val="auto"/>
          <w:lang w:val="ro-RO"/>
        </w:rPr>
        <w:t>Afișarea rezultatelor obținute la concursul de admitere se realizează în etape, generându-se cel puțin două tipuri de liste:</w:t>
      </w:r>
    </w:p>
    <w:p w14:paraId="0887633C" w14:textId="77777777" w:rsidR="004B5924" w:rsidRDefault="004808C1">
      <w:pPr>
        <w:pStyle w:val="Default"/>
        <w:numPr>
          <w:ilvl w:val="0"/>
          <w:numId w:val="10"/>
        </w:numPr>
        <w:spacing w:line="360" w:lineRule="auto"/>
        <w:jc w:val="both"/>
        <w:rPr>
          <w:color w:val="auto"/>
          <w:lang w:val="ro-RO"/>
        </w:rPr>
      </w:pPr>
      <w:r>
        <w:rPr>
          <w:color w:val="auto"/>
          <w:lang w:val="ro-RO"/>
        </w:rPr>
        <w:t>liste provizorii – cu ierarhizarea candidaților, generate după admitere;</w:t>
      </w:r>
    </w:p>
    <w:p w14:paraId="4CF6B3A9" w14:textId="77777777" w:rsidR="004B5924" w:rsidRDefault="004808C1">
      <w:pPr>
        <w:pStyle w:val="Default"/>
        <w:numPr>
          <w:ilvl w:val="0"/>
          <w:numId w:val="10"/>
        </w:numPr>
        <w:spacing w:line="360" w:lineRule="auto"/>
        <w:jc w:val="both"/>
        <w:rPr>
          <w:color w:val="auto"/>
          <w:lang w:val="ro-RO"/>
        </w:rPr>
      </w:pPr>
      <w:r>
        <w:rPr>
          <w:color w:val="auto"/>
          <w:lang w:val="ro-RO"/>
        </w:rPr>
        <w:t>liste definitive – cu ierarhizarea candidaților, generate după soluționarea contestațiilor care cuprind rezultatele definitive și incontestabile.</w:t>
      </w:r>
    </w:p>
    <w:p w14:paraId="2F574372" w14:textId="77777777" w:rsidR="004B5924" w:rsidRDefault="004808C1" w:rsidP="00C91FD1">
      <w:pPr>
        <w:pStyle w:val="Default"/>
        <w:numPr>
          <w:ilvl w:val="0"/>
          <w:numId w:val="4"/>
        </w:numPr>
        <w:spacing w:line="360" w:lineRule="auto"/>
        <w:jc w:val="both"/>
        <w:rPr>
          <w:color w:val="auto"/>
          <w:lang w:val="ro-RO"/>
        </w:rPr>
      </w:pPr>
      <w:r>
        <w:rPr>
          <w:color w:val="auto"/>
          <w:lang w:val="ro-RO"/>
        </w:rPr>
        <w:t>Listele candidaţilor admişi şi înmatriculaţi pe domenii de studiu şi listele candidaţilor respinşi vor fi afişate de către fiecare școală doctorală la avizierul fiecărei școli doctorale și pe pagina web proprie.</w:t>
      </w:r>
    </w:p>
    <w:p w14:paraId="41C33937" w14:textId="77777777" w:rsidR="004B5924" w:rsidRDefault="004808C1" w:rsidP="00C91FD1">
      <w:pPr>
        <w:pStyle w:val="Default"/>
        <w:numPr>
          <w:ilvl w:val="0"/>
          <w:numId w:val="4"/>
        </w:numPr>
        <w:spacing w:line="360" w:lineRule="auto"/>
        <w:jc w:val="both"/>
        <w:rPr>
          <w:color w:val="auto"/>
          <w:lang w:val="ro-RO"/>
        </w:rPr>
      </w:pPr>
      <w:r>
        <w:rPr>
          <w:rFonts w:eastAsia="Trebuchet MS"/>
          <w:lang w:val="ro-RO"/>
        </w:rPr>
        <w:t>Pentru afişarea rezultatelor admiterii se vor folosi doar următoarele denumiri:</w:t>
      </w:r>
    </w:p>
    <w:p w14:paraId="7976D3C9" w14:textId="77777777" w:rsidR="004B5924" w:rsidRDefault="004808C1">
      <w:pPr>
        <w:pStyle w:val="Normal1"/>
        <w:spacing w:before="120" w:after="120" w:line="360" w:lineRule="auto"/>
        <w:ind w:firstLine="708"/>
        <w:jc w:val="both"/>
        <w:rPr>
          <w:rFonts w:eastAsia="Trebuchet MS"/>
          <w:color w:val="000000"/>
        </w:rPr>
      </w:pPr>
      <w:r>
        <w:rPr>
          <w:rFonts w:eastAsia="Trebuchet MS"/>
          <w:b/>
          <w:color w:val="000000"/>
        </w:rPr>
        <w:t>A</w:t>
      </w:r>
      <w:r>
        <w:rPr>
          <w:rFonts w:eastAsia="Trebuchet MS"/>
          <w:b/>
          <w:color w:val="000000"/>
        </w:rPr>
        <w:tab/>
        <w:t>„Lista candidaţilor ADMIŞI pentru locurile cu finanţare de la BUGET”</w:t>
      </w:r>
      <w:r>
        <w:rPr>
          <w:rFonts w:eastAsia="Trebuchet MS"/>
          <w:color w:val="000000"/>
        </w:rPr>
        <w:t>, în limita numărului de locuri repartizate;</w:t>
      </w:r>
    </w:p>
    <w:p w14:paraId="5EA7B9EF" w14:textId="77777777" w:rsidR="004B5924" w:rsidRDefault="004808C1">
      <w:pPr>
        <w:pStyle w:val="Normal1"/>
        <w:spacing w:before="120" w:after="120" w:line="360" w:lineRule="auto"/>
        <w:ind w:firstLine="708"/>
        <w:jc w:val="both"/>
        <w:rPr>
          <w:rFonts w:eastAsia="Trebuchet MS"/>
          <w:color w:val="000000"/>
        </w:rPr>
      </w:pPr>
      <w:r>
        <w:rPr>
          <w:rFonts w:eastAsia="Trebuchet MS"/>
          <w:color w:val="000000"/>
        </w:rPr>
        <w:t>B</w:t>
      </w:r>
      <w:r>
        <w:rPr>
          <w:rFonts w:eastAsia="Trebuchet MS"/>
          <w:color w:val="000000"/>
        </w:rPr>
        <w:tab/>
        <w:t>„</w:t>
      </w:r>
      <w:r>
        <w:rPr>
          <w:rFonts w:eastAsia="Trebuchet MS"/>
          <w:b/>
          <w:color w:val="000000"/>
        </w:rPr>
        <w:t>Lista candidaţilor ADMIŞI pentru locurile în regim cu TAXĂ</w:t>
      </w:r>
      <w:r>
        <w:rPr>
          <w:rFonts w:eastAsia="Trebuchet MS"/>
          <w:color w:val="000000"/>
        </w:rPr>
        <w:t>”, în limita numărului de locuri repartizate;</w:t>
      </w:r>
    </w:p>
    <w:p w14:paraId="6394DFA9" w14:textId="77777777" w:rsidR="004B5924" w:rsidRDefault="004808C1">
      <w:pPr>
        <w:pStyle w:val="Normal1"/>
        <w:spacing w:before="120" w:after="120" w:line="360" w:lineRule="auto"/>
        <w:ind w:firstLine="708"/>
        <w:jc w:val="both"/>
        <w:rPr>
          <w:rFonts w:eastAsia="Trebuchet MS"/>
          <w:color w:val="000000"/>
        </w:rPr>
      </w:pPr>
      <w:r>
        <w:rPr>
          <w:rFonts w:eastAsia="Trebuchet MS"/>
          <w:color w:val="000000"/>
        </w:rPr>
        <w:t>C</w:t>
      </w:r>
      <w:r>
        <w:rPr>
          <w:rFonts w:eastAsia="Trebuchet MS"/>
          <w:b/>
          <w:color w:val="000000"/>
        </w:rPr>
        <w:tab/>
        <w:t>„Lista candidaţilor RESPINŞI</w:t>
      </w:r>
      <w:r>
        <w:rPr>
          <w:rFonts w:eastAsia="Trebuchet MS"/>
          <w:color w:val="000000"/>
        </w:rPr>
        <w:t>”, dacă este cazul.</w:t>
      </w:r>
    </w:p>
    <w:p w14:paraId="61554E6E" w14:textId="0D7B638A" w:rsidR="004B5924" w:rsidRDefault="004808C1" w:rsidP="00C91FD1">
      <w:pPr>
        <w:pStyle w:val="Default"/>
        <w:numPr>
          <w:ilvl w:val="0"/>
          <w:numId w:val="4"/>
        </w:numPr>
        <w:spacing w:line="360" w:lineRule="auto"/>
        <w:ind w:left="0" w:firstLine="0"/>
        <w:jc w:val="both"/>
        <w:rPr>
          <w:rFonts w:eastAsia="Trebuchet MS"/>
          <w:b/>
        </w:rPr>
      </w:pPr>
      <w:r>
        <w:rPr>
          <w:rFonts w:eastAsia="Trebuchet MS"/>
          <w:b/>
          <w:lang w:val="ro-RO"/>
        </w:rPr>
        <w:t xml:space="preserve">Listele finale ale candidaţilor admişi </w:t>
      </w:r>
      <w:r>
        <w:rPr>
          <w:rFonts w:eastAsia="Trebuchet MS"/>
          <w:lang w:val="ro-RO"/>
        </w:rPr>
        <w:t>pe domenii şi listele candidaţilor respinşi vor fi afişate, atât la sediile școlilor doctorale cât şi pe pagina web proprie, specificându-se data şi ora afişării, numai după ce au fost</w:t>
      </w:r>
      <w:r>
        <w:rPr>
          <w:rFonts w:eastAsia="Trebuchet MS"/>
          <w:b/>
          <w:lang w:val="ro-RO"/>
        </w:rPr>
        <w:t xml:space="preserve"> validate de către Consiliul Școlii Doctorale (CSD), Consiliul pentru Studiile Universitare de Doctorat (CSUD) și conducerea IOSUD. </w:t>
      </w:r>
      <w:r>
        <w:rPr>
          <w:rFonts w:eastAsia="Trebuchet MS"/>
          <w:b/>
        </w:rPr>
        <w:t xml:space="preserve">Un exemplar va fi depus la </w:t>
      </w:r>
      <w:r w:rsidR="00C91FD1" w:rsidRPr="005B57AE">
        <w:rPr>
          <w:rFonts w:eastAsia="Trebuchet MS"/>
          <w:b/>
          <w:color w:val="auto"/>
        </w:rPr>
        <w:t>Compartimentul</w:t>
      </w:r>
      <w:r w:rsidRPr="005B57AE">
        <w:rPr>
          <w:rFonts w:eastAsia="Trebuchet MS"/>
          <w:b/>
          <w:color w:val="auto"/>
        </w:rPr>
        <w:t xml:space="preserve"> pentru St</w:t>
      </w:r>
      <w:r w:rsidR="00C91FD1" w:rsidRPr="005B57AE">
        <w:rPr>
          <w:rFonts w:eastAsia="Trebuchet MS"/>
          <w:b/>
          <w:color w:val="auto"/>
        </w:rPr>
        <w:t xml:space="preserve">udiile </w:t>
      </w:r>
      <w:r w:rsidR="00C91FD1">
        <w:rPr>
          <w:rFonts w:eastAsia="Trebuchet MS"/>
          <w:b/>
        </w:rPr>
        <w:t>Universitare de Doctorat- Rectorat</w:t>
      </w:r>
    </w:p>
    <w:p w14:paraId="20AEAB5A" w14:textId="77777777" w:rsidR="004B5924" w:rsidRDefault="004808C1" w:rsidP="00C91FD1">
      <w:pPr>
        <w:pStyle w:val="Default"/>
        <w:numPr>
          <w:ilvl w:val="0"/>
          <w:numId w:val="4"/>
        </w:numPr>
        <w:spacing w:line="360" w:lineRule="auto"/>
        <w:ind w:left="0" w:firstLine="0"/>
        <w:jc w:val="both"/>
      </w:pPr>
      <w:r>
        <w:rPr>
          <w:rFonts w:eastAsia="Trebuchet MS"/>
          <w:b/>
        </w:rPr>
        <w:t>La afișarea listelor se va respecta acordul candidaţilor exprimat în Fișa de înscriere privind afișarea numelui pe listele cu rezultatele admiterii.</w:t>
      </w:r>
    </w:p>
    <w:p w14:paraId="67F069EB" w14:textId="1C508869" w:rsidR="004B5924" w:rsidRDefault="00425293" w:rsidP="00425293">
      <w:pPr>
        <w:pStyle w:val="ListParagraph"/>
        <w:tabs>
          <w:tab w:val="left" w:pos="993"/>
        </w:tabs>
        <w:spacing w:line="360" w:lineRule="auto"/>
        <w:ind w:left="0"/>
        <w:jc w:val="both"/>
        <w:rPr>
          <w:b/>
        </w:rPr>
      </w:pPr>
      <w:r w:rsidRPr="00425293">
        <w:rPr>
          <w:b/>
          <w:bCs/>
        </w:rPr>
        <w:t>Art. 1</w:t>
      </w:r>
      <w:r w:rsidR="00D66A01">
        <w:rPr>
          <w:b/>
          <w:bCs/>
        </w:rPr>
        <w:t>7</w:t>
      </w:r>
      <w:r w:rsidRPr="00425293">
        <w:rPr>
          <w:b/>
          <w:bCs/>
        </w:rPr>
        <w:t>.</w:t>
      </w:r>
      <w:r>
        <w:t xml:space="preserve"> (1) În cursul perioadei anunțate pentru desfășurarea confirmărilor, candidații admiși pe locuri finanțate de la buget vor confirma ocuparea locurilor prin depunerea la școala doctorală, în vederea înmatriculării, a diplomelor de studii în original, iar candidații care au promovat examenul de disertație în cursul anului </w:t>
      </w:r>
      <w:r w:rsidRPr="005B57AE">
        <w:t>universitar 202</w:t>
      </w:r>
      <w:r w:rsidR="00E97C4C" w:rsidRPr="005B57AE">
        <w:t>3</w:t>
      </w:r>
      <w:r w:rsidRPr="005B57AE">
        <w:t>-202</w:t>
      </w:r>
      <w:r w:rsidR="00E97C4C" w:rsidRPr="005B57AE">
        <w:t>4</w:t>
      </w:r>
      <w:r w:rsidRPr="005B57AE">
        <w:t xml:space="preserve"> vor depune </w:t>
      </w:r>
      <w:r>
        <w:t>adeverința de absolvire, în original.</w:t>
      </w:r>
    </w:p>
    <w:p w14:paraId="0D1C4E7E" w14:textId="77777777" w:rsidR="004B5924" w:rsidRDefault="004808C1">
      <w:pPr>
        <w:pStyle w:val="Default"/>
        <w:spacing w:line="360" w:lineRule="auto"/>
        <w:jc w:val="both"/>
        <w:rPr>
          <w:color w:val="auto"/>
          <w:lang w:val="ro-RO"/>
        </w:rPr>
      </w:pPr>
      <w:r>
        <w:rPr>
          <w:color w:val="auto"/>
          <w:lang w:val="ro-RO"/>
        </w:rPr>
        <w:t>(2) După aprobarea înmatriculării, studenții doctoranzi sunt înscriși în Registrul Matricol Unic (RMU) cu un număr unic valabil pentru întreaga perioadă de școlarizare la programul de studii la care au fost admiși.</w:t>
      </w:r>
    </w:p>
    <w:p w14:paraId="11FBDD64" w14:textId="63DF8CBE" w:rsidR="004B5924" w:rsidRDefault="004808C1">
      <w:pPr>
        <w:pStyle w:val="Default"/>
        <w:spacing w:line="360" w:lineRule="auto"/>
        <w:jc w:val="both"/>
        <w:rPr>
          <w:lang w:val="ro-RO"/>
        </w:rPr>
      </w:pPr>
      <w:r>
        <w:rPr>
          <w:lang w:val="ro-RO"/>
        </w:rPr>
        <w:t>(3) Datele doctoranzilor vor fi completate în programul E-sims al universităţii, sistem de gestiune a școlarizării, în care se vor consemna, pe parcursul studiilor doctorale, situaţia şcolară a studentului doctorand, întreruperi sau prelungiri ale activităţii acestuia</w:t>
      </w:r>
      <w:r w:rsidR="00E97C4C">
        <w:rPr>
          <w:lang w:val="ro-RO"/>
        </w:rPr>
        <w:t xml:space="preserve"> </w:t>
      </w:r>
      <w:r>
        <w:rPr>
          <w:lang w:val="ro-RO"/>
        </w:rPr>
        <w:t>etc.</w:t>
      </w:r>
    </w:p>
    <w:p w14:paraId="0668FFDA" w14:textId="77777777" w:rsidR="004B5924" w:rsidRDefault="004808C1">
      <w:pPr>
        <w:pStyle w:val="Default"/>
        <w:spacing w:line="360" w:lineRule="auto"/>
        <w:jc w:val="both"/>
        <w:rPr>
          <w:color w:val="auto"/>
          <w:lang w:val="ro-RO"/>
        </w:rPr>
      </w:pPr>
      <w:r>
        <w:rPr>
          <w:color w:val="auto"/>
          <w:lang w:val="ro-RO"/>
        </w:rPr>
        <w:t>(4) Doctoratul se desfăşoară pe bază de contract încheiat între studentul doctorand şi IOSUD-UAIC.</w:t>
      </w:r>
    </w:p>
    <w:p w14:paraId="052BFC5B" w14:textId="12274292" w:rsidR="004B5924" w:rsidRDefault="004808C1">
      <w:pPr>
        <w:pStyle w:val="Default"/>
        <w:spacing w:line="360" w:lineRule="auto"/>
        <w:jc w:val="both"/>
        <w:rPr>
          <w:rFonts w:eastAsia="Trebuchet MS"/>
          <w:lang w:val="ro-RO"/>
        </w:rPr>
      </w:pPr>
      <w:r>
        <w:rPr>
          <w:rFonts w:eastAsia="Trebuchet MS"/>
          <w:lang w:val="ro-RO"/>
        </w:rPr>
        <w:t>(5) La semnarea contractului de studii, candidații declarați admiși au obligația de a depune la dosar un extras de cont al titularului în vederea efectuării operațiunilor de virament bancar care apar în perioada școlarizării (burse, restituiri taxe, premii etc.). În contractul de școlarizare va fi trecut contul IBAN, conform extrasului de cont depus la dosar. Dacă intervine o schimbare a datelor din extrasul de cont depus la dosar, studentul are obligația să anunțe, în termen de 5 zile lucrătoare, secretariatul facultății și să depună un nou extras de cont. În cazuri excepționale, extrasul de cont poate fi adus până la începerea anului academic.</w:t>
      </w:r>
    </w:p>
    <w:p w14:paraId="037CDE58" w14:textId="77777777" w:rsidR="004B5924" w:rsidRDefault="004808C1">
      <w:pPr>
        <w:pStyle w:val="NormalWeb"/>
        <w:spacing w:before="0" w:beforeAutospacing="0" w:after="0" w:afterAutospacing="0" w:line="360" w:lineRule="auto"/>
        <w:jc w:val="both"/>
        <w:rPr>
          <w:lang w:val="ro-RO"/>
        </w:rPr>
      </w:pPr>
      <w:r>
        <w:rPr>
          <w:rFonts w:eastAsia="Trebuchet MS"/>
          <w:color w:val="000000"/>
          <w:lang w:val="ro-RO"/>
        </w:rPr>
        <w:t>(6) Pentru candidații finanțați de bugetul de stat, b</w:t>
      </w:r>
      <w:r>
        <w:rPr>
          <w:lang w:val="ro-RO"/>
        </w:rPr>
        <w:t>ursele acordate de către Ministerul Educației precum și cele acordate de UAIC se vor distribui, în ordinea descrescătoare a mediilor de admitere, numai candidațior declarați admiși la forma de studii cu frecvență, care au semnat contractul de studii.</w:t>
      </w:r>
    </w:p>
    <w:p w14:paraId="686A7AAE" w14:textId="57F9D960" w:rsidR="004B5924" w:rsidRPr="005B57AE" w:rsidRDefault="004808C1">
      <w:pPr>
        <w:pStyle w:val="Default"/>
        <w:spacing w:line="360" w:lineRule="auto"/>
        <w:jc w:val="both"/>
        <w:rPr>
          <w:color w:val="auto"/>
          <w:lang w:val="ro-RO"/>
        </w:rPr>
      </w:pPr>
      <w:r>
        <w:rPr>
          <w:color w:val="auto"/>
          <w:lang w:val="ro-RO"/>
        </w:rPr>
        <w:t xml:space="preserve">(7) Candidaţii declaraţi admişi pe locurile de la buget vor achita taxa de înmatriculare în valoare de </w:t>
      </w:r>
      <w:r w:rsidR="00D66A01" w:rsidRPr="005B57AE">
        <w:rPr>
          <w:color w:val="auto"/>
          <w:lang w:val="ro-RO"/>
        </w:rPr>
        <w:t>100</w:t>
      </w:r>
      <w:r w:rsidRPr="005B57AE">
        <w:rPr>
          <w:color w:val="auto"/>
          <w:lang w:val="ro-RO"/>
        </w:rPr>
        <w:t xml:space="preserve"> lei. </w:t>
      </w:r>
    </w:p>
    <w:p w14:paraId="57F16590" w14:textId="0789BE2C" w:rsidR="004B5924" w:rsidRDefault="004808C1">
      <w:pPr>
        <w:pStyle w:val="Default"/>
        <w:spacing w:line="360" w:lineRule="auto"/>
        <w:jc w:val="both"/>
        <w:rPr>
          <w:rFonts w:eastAsia="Trebuchet MS"/>
          <w:lang w:val="ro-RO"/>
        </w:rPr>
      </w:pPr>
      <w:r>
        <w:rPr>
          <w:color w:val="auto"/>
          <w:lang w:val="ro-RO"/>
        </w:rPr>
        <w:t xml:space="preserve">(8) </w:t>
      </w:r>
      <w:r>
        <w:rPr>
          <w:rFonts w:eastAsia="Trebuchet MS"/>
          <w:lang w:val="ro-RO"/>
        </w:rPr>
        <w:t xml:space="preserve">Candidaţii admişi pe locurile cu taxă au obligaţia să achite, conform calendarului stabilit de fiecare facultate, cel puţin 30% din taxa de şcolarizare pentru semestrul I al anului </w:t>
      </w:r>
      <w:r w:rsidRPr="005B57AE">
        <w:rPr>
          <w:rFonts w:eastAsia="Trebuchet MS"/>
          <w:color w:val="auto"/>
          <w:lang w:val="ro-RO"/>
        </w:rPr>
        <w:t>universitar 202</w:t>
      </w:r>
      <w:r w:rsidR="00E97C4C" w:rsidRPr="005B57AE">
        <w:rPr>
          <w:rFonts w:eastAsia="Trebuchet MS"/>
          <w:color w:val="auto"/>
          <w:lang w:val="ro-RO"/>
        </w:rPr>
        <w:t>4</w:t>
      </w:r>
      <w:r w:rsidRPr="005B57AE">
        <w:rPr>
          <w:rFonts w:eastAsia="Trebuchet MS"/>
          <w:color w:val="auto"/>
          <w:lang w:val="ro-RO"/>
        </w:rPr>
        <w:t>-202</w:t>
      </w:r>
      <w:r w:rsidR="00E97C4C" w:rsidRPr="005B57AE">
        <w:rPr>
          <w:rFonts w:eastAsia="Trebuchet MS"/>
          <w:color w:val="auto"/>
          <w:lang w:val="ro-RO"/>
        </w:rPr>
        <w:t>5</w:t>
      </w:r>
      <w:r w:rsidRPr="005B57AE">
        <w:rPr>
          <w:rFonts w:eastAsia="Trebuchet MS"/>
          <w:color w:val="auto"/>
          <w:lang w:val="ro-RO"/>
        </w:rPr>
        <w:t xml:space="preserve"> şi să semneze Contractul de studii. După acest termen, candidaţii care nu şi-au îndeplinit aceste obligaţii vor fi declaraţi respinşi. Locurile eliberate de aceşti candidaţi vor fi ocupate de </w:t>
      </w:r>
      <w:r>
        <w:rPr>
          <w:rFonts w:eastAsia="Trebuchet MS"/>
          <w:lang w:val="ro-RO"/>
        </w:rPr>
        <w:t>următorii candidaţi care îndeplinesc condiţiile de admitere, sau vor fi scoase la concurs într-o nouă sesiune.</w:t>
      </w:r>
    </w:p>
    <w:p w14:paraId="62D224EB" w14:textId="4CB79080" w:rsidR="004B5924" w:rsidRDefault="00425293" w:rsidP="00425293">
      <w:pPr>
        <w:pStyle w:val="ListParagraph"/>
        <w:tabs>
          <w:tab w:val="left" w:pos="993"/>
        </w:tabs>
        <w:spacing w:line="360" w:lineRule="auto"/>
        <w:ind w:left="0"/>
        <w:jc w:val="both"/>
      </w:pPr>
      <w:r w:rsidRPr="00425293">
        <w:rPr>
          <w:rFonts w:eastAsia="Arial"/>
          <w:b/>
          <w:bCs/>
        </w:rPr>
        <w:t>Art. 1</w:t>
      </w:r>
      <w:r w:rsidR="00E05146">
        <w:rPr>
          <w:rFonts w:eastAsia="Arial"/>
          <w:b/>
          <w:bCs/>
        </w:rPr>
        <w:t>8</w:t>
      </w:r>
      <w:r w:rsidRPr="00425293">
        <w:rPr>
          <w:rFonts w:eastAsia="Arial"/>
          <w:b/>
          <w:bCs/>
        </w:rPr>
        <w:t>.</w:t>
      </w:r>
      <w:r>
        <w:rPr>
          <w:rFonts w:eastAsia="Arial"/>
        </w:rPr>
        <w:t xml:space="preserve"> Taxele de </w:t>
      </w:r>
      <w:r>
        <w:rPr>
          <w:rFonts w:eastAsia="Trebuchet MS"/>
          <w:spacing w:val="-4"/>
        </w:rPr>
        <w:t>școlarizare</w:t>
      </w:r>
      <w:r>
        <w:rPr>
          <w:rFonts w:eastAsia="Arial"/>
        </w:rPr>
        <w:t xml:space="preserve"> se restituie, în cazul retragerii, astfel:</w:t>
      </w:r>
    </w:p>
    <w:p w14:paraId="32DF42E2" w14:textId="77777777" w:rsidR="004B5924" w:rsidRDefault="004808C1">
      <w:pPr>
        <w:pStyle w:val="Normal1"/>
        <w:tabs>
          <w:tab w:val="left" w:pos="993"/>
        </w:tabs>
        <w:spacing w:line="360" w:lineRule="auto"/>
        <w:jc w:val="both"/>
        <w:rPr>
          <w:rFonts w:eastAsia="Trebuchet MS"/>
        </w:rPr>
      </w:pPr>
      <w:r>
        <w:rPr>
          <w:rFonts w:eastAsia="Trebuchet MS"/>
        </w:rPr>
        <w:t>(a) Candidaţilor admişi cu taxă care renunţă la şcolarizare în termen de 5 (cinci) zile de la semnarea Contractului de studii li se va reţine 10% din taxa de şcolarizare pentru semestrul I. Dacă cererea de retragere se va face după depăşirea termenului de 5 (cinci) zile de la semnarea Contractului de studii, dar înainte de începerea anului universitar li se va reţine 15% din taxa de şcolarizare pentru semestrul I. După începerea anului universitar, taxele nu se mai restituie.</w:t>
      </w:r>
    </w:p>
    <w:p w14:paraId="3A15A714" w14:textId="77777777" w:rsidR="004B5924" w:rsidRDefault="004808C1">
      <w:pPr>
        <w:tabs>
          <w:tab w:val="left" w:pos="993"/>
          <w:tab w:val="left" w:pos="1560"/>
        </w:tabs>
        <w:spacing w:line="360" w:lineRule="auto"/>
        <w:jc w:val="both"/>
        <w:rPr>
          <w:rFonts w:eastAsia="Trebuchet MS"/>
        </w:rPr>
      </w:pPr>
      <w:r>
        <w:rPr>
          <w:rFonts w:eastAsia="Trebuchet MS"/>
        </w:rPr>
        <w:t>(b) Taxa de școlarizare achitată de către candidații admiși pe locuri cu taxă se restituie integral dacă studentul admis cu taxă a ocupat, în urma redistribuirii, un loc la buget.</w:t>
      </w:r>
    </w:p>
    <w:p w14:paraId="6BB76EF9" w14:textId="77777777" w:rsidR="004B5924" w:rsidRDefault="004808C1">
      <w:pPr>
        <w:pStyle w:val="Heading1"/>
        <w:rPr>
          <w:sz w:val="28"/>
          <w:szCs w:val="28"/>
        </w:rPr>
      </w:pPr>
      <w:bookmarkStart w:id="9" w:name="_Toc94688284"/>
      <w:r>
        <w:rPr>
          <w:sz w:val="28"/>
          <w:szCs w:val="28"/>
        </w:rPr>
        <w:t>CAPITOLUL VI. DISPOZI</w:t>
      </w:r>
      <w:r>
        <w:rPr>
          <w:rFonts w:hint="eastAsia"/>
          <w:sz w:val="28"/>
          <w:szCs w:val="28"/>
        </w:rPr>
        <w:t>Ţ</w:t>
      </w:r>
      <w:r>
        <w:rPr>
          <w:sz w:val="28"/>
          <w:szCs w:val="28"/>
        </w:rPr>
        <w:t>II FINALE</w:t>
      </w:r>
      <w:bookmarkEnd w:id="9"/>
    </w:p>
    <w:p w14:paraId="772935F3" w14:textId="1809A12C" w:rsidR="004B5924" w:rsidRDefault="00E05146" w:rsidP="00425293">
      <w:pPr>
        <w:pStyle w:val="ListParagraph"/>
        <w:tabs>
          <w:tab w:val="left" w:pos="993"/>
        </w:tabs>
        <w:spacing w:line="360" w:lineRule="auto"/>
        <w:ind w:left="0"/>
        <w:jc w:val="both"/>
        <w:rPr>
          <w:rFonts w:eastAsia="Arial"/>
        </w:rPr>
      </w:pPr>
      <w:r>
        <w:rPr>
          <w:b/>
          <w:bCs/>
        </w:rPr>
        <w:t>Art. 19</w:t>
      </w:r>
      <w:r w:rsidR="00425293" w:rsidRPr="00425293">
        <w:rPr>
          <w:b/>
          <w:bCs/>
        </w:rPr>
        <w:t>.</w:t>
      </w:r>
      <w:r w:rsidR="00425293">
        <w:t xml:space="preserve"> (1) Studiile universitare de doctorat se desfășoară în limba română sau, cu avizul Consiliului școlii doctorale şi cu aprobarea conducerii IOSUD, într-o limbă de circulație internațională. </w:t>
      </w:r>
    </w:p>
    <w:p w14:paraId="03078FE9" w14:textId="77777777" w:rsidR="004B5924" w:rsidRDefault="004808C1">
      <w:pPr>
        <w:pStyle w:val="Default"/>
        <w:spacing w:line="360" w:lineRule="auto"/>
        <w:jc w:val="both"/>
        <w:rPr>
          <w:color w:val="auto"/>
          <w:lang w:val="ro-RO"/>
        </w:rPr>
      </w:pPr>
      <w:r>
        <w:rPr>
          <w:color w:val="auto"/>
          <w:lang w:val="ro-RO"/>
        </w:rPr>
        <w:t>(2) Pentru doctoranzii ale căror teme de cercetare necesită îndrumarea de către mai mulţi conducători de doctorat din domenii diferite sau în cazul desfășurării proiectului de cercetare şi în altă instituţie, se organizează doctorat în cotutelă. În acest caz, pentru studentul doctorand îndrumarea este asigurată, în afara conducătorului din școala doctorală unde este înmatriculat, de încă unul sau mai mulţi conducători de doctorat, în baza unui acord de cotutelă încheiat între părţi.</w:t>
      </w:r>
    </w:p>
    <w:p w14:paraId="54288F05" w14:textId="6727BD84" w:rsidR="004B5924" w:rsidRDefault="004808C1">
      <w:pPr>
        <w:spacing w:line="360" w:lineRule="auto"/>
        <w:jc w:val="both"/>
      </w:pPr>
      <w:r>
        <w:rPr>
          <w:rFonts w:eastAsia="Trebuchet MS"/>
          <w:color w:val="000000"/>
        </w:rPr>
        <w:t xml:space="preserve">(3) Atât dosarele candidaților admiși, cât și cele ale candidaților respinși se vor păstra în condiții de securitate (dulapuri, fișete metalice), prevăzute cu încuietori și cu acces doar pentru personalul autorizat (membrii comisiilor, personalul secretariatului general al universității, personalul secretariatelor facultăților, personalul </w:t>
      </w:r>
      <w:r w:rsidR="00E05146">
        <w:rPr>
          <w:rFonts w:eastAsia="Trebuchet MS"/>
          <w:color w:val="000000"/>
        </w:rPr>
        <w:t>Compartimentului</w:t>
      </w:r>
      <w:r>
        <w:rPr>
          <w:rFonts w:eastAsia="Trebuchet MS"/>
          <w:color w:val="000000"/>
        </w:rPr>
        <w:t xml:space="preserve"> pentru studiile universitare de doctorat </w:t>
      </w:r>
      <w:r w:rsidR="00E05146">
        <w:rPr>
          <w:rFonts w:eastAsia="Trebuchet MS"/>
          <w:color w:val="000000"/>
        </w:rPr>
        <w:t xml:space="preserve">– Rectorat </w:t>
      </w:r>
      <w:r>
        <w:rPr>
          <w:rFonts w:eastAsia="Trebuchet MS"/>
          <w:color w:val="000000"/>
        </w:rPr>
        <w:t>din cadrul universității).</w:t>
      </w:r>
      <w:r w:rsidR="00E05146">
        <w:rPr>
          <w:rFonts w:eastAsia="Trebuchet MS"/>
          <w:color w:val="000000"/>
        </w:rPr>
        <w:t xml:space="preserve"> </w:t>
      </w:r>
      <w:r>
        <w:rPr>
          <w:rFonts w:eastAsia="Trebuchet MS"/>
          <w:color w:val="000000"/>
        </w:rPr>
        <w:t>În aceleași condiții de securitate se vor păstra cataloagele și borderourile de notare sau corectură, respectiv și alte documente ale comisiilor de admitere.</w:t>
      </w:r>
    </w:p>
    <w:p w14:paraId="3303A78F" w14:textId="77777777" w:rsidR="004B5924" w:rsidRDefault="004808C1">
      <w:pPr>
        <w:spacing w:before="120" w:after="120" w:line="360" w:lineRule="auto"/>
        <w:jc w:val="both"/>
        <w:rPr>
          <w:rFonts w:eastAsia="Trebuchet MS"/>
          <w:color w:val="000000"/>
        </w:rPr>
      </w:pPr>
      <w:r>
        <w:rPr>
          <w:rFonts w:eastAsia="Trebuchet MS"/>
          <w:color w:val="000000"/>
        </w:rPr>
        <w:t>De asemenea, se va asigura securitatea sistemelor informatice de calcul utilizate în procesarea datelor și informațiilor aferente concursului de admitere.</w:t>
      </w:r>
    </w:p>
    <w:p w14:paraId="2E3FE348" w14:textId="4A515FFF" w:rsidR="004B5924" w:rsidRDefault="004808C1">
      <w:pPr>
        <w:numPr>
          <w:ilvl w:val="0"/>
          <w:numId w:val="4"/>
        </w:numPr>
        <w:spacing w:before="120" w:after="120" w:line="360" w:lineRule="auto"/>
        <w:ind w:left="0" w:firstLine="0"/>
        <w:jc w:val="both"/>
        <w:rPr>
          <w:rFonts w:eastAsia="Trebuchet MS"/>
          <w:color w:val="000000"/>
        </w:rPr>
      </w:pPr>
      <w:r>
        <w:rPr>
          <w:rFonts w:eastAsia="Trebuchet MS"/>
          <w:color w:val="000000"/>
        </w:rPr>
        <w:t>În cazul în care pe perioada admiterii există condiții speciale (stare de urgență, stare de alertă, restricții privind circulația persoanelor, localități în carantină etc.), înscrierea candidaților și probele de admitere la IOSUD se pot realiza și folosind mijloacele electronice și platformele instituționale ale UAIC. Rezultatele probelor desfășurate on-line (cunoștințe teoretice de specialitate, interviu) vor fi înregistrate prin grija comisiilor de admitere și arhivate prin grija facultăților pentru o perioadă de 5 ani. Candidaților li se va aduce la cunoștință că probele de admitere vor fi înregistrate și se va solicita acceptul în acest scop. Refuzul acceptului de înregistrare atrage eliminarea din concursul de admitere la studiile universitare de doctorat.</w:t>
      </w:r>
    </w:p>
    <w:p w14:paraId="63FEFBD3" w14:textId="77777777" w:rsidR="004B5924" w:rsidRDefault="004808C1">
      <w:pPr>
        <w:numPr>
          <w:ilvl w:val="0"/>
          <w:numId w:val="4"/>
        </w:numPr>
        <w:spacing w:before="120" w:after="120" w:line="360" w:lineRule="auto"/>
        <w:ind w:left="0" w:firstLine="0"/>
        <w:jc w:val="both"/>
        <w:rPr>
          <w:rFonts w:eastAsia="Trebuchet MS"/>
          <w:color w:val="000000"/>
        </w:rPr>
      </w:pPr>
      <w:r>
        <w:t xml:space="preserve">Orice prevedere transmisă de Ministerul </w:t>
      </w:r>
      <w:r>
        <w:rPr>
          <w:rStyle w:val="sttalineat"/>
        </w:rPr>
        <w:t xml:space="preserve">Educaţiei </w:t>
      </w:r>
      <w:r>
        <w:t>sau aprobată de Senatul Universităţii, cu privire la admiterea la doctorat, va fi adusă la cunoştinţa Școlilor Doctorale;</w:t>
      </w:r>
    </w:p>
    <w:p w14:paraId="480FB01C" w14:textId="04217F9F" w:rsidR="004B5924" w:rsidRPr="005B57AE" w:rsidRDefault="004808C1">
      <w:pPr>
        <w:pStyle w:val="Default"/>
        <w:spacing w:line="360" w:lineRule="auto"/>
        <w:jc w:val="both"/>
        <w:rPr>
          <w:color w:val="auto"/>
          <w:lang w:val="ro-RO"/>
        </w:rPr>
      </w:pPr>
      <w:r>
        <w:rPr>
          <w:color w:val="auto"/>
          <w:lang w:val="ro-RO"/>
        </w:rPr>
        <w:t xml:space="preserve">(5) Prezentul Regulament pentru organizarea şi desfăşurarea admiterii la studii universitare de doctorat a fost aprobat de Senatul Universității „Alexandru Ioan Cuza” din Iaşi și se aplică pentru </w:t>
      </w:r>
      <w:r w:rsidRPr="005B57AE">
        <w:rPr>
          <w:color w:val="auto"/>
          <w:lang w:val="ro-RO"/>
        </w:rPr>
        <w:t>anul universitar 202</w:t>
      </w:r>
      <w:r w:rsidR="00E97C4C" w:rsidRPr="005B57AE">
        <w:rPr>
          <w:color w:val="auto"/>
          <w:lang w:val="ro-RO"/>
        </w:rPr>
        <w:t>4</w:t>
      </w:r>
      <w:r w:rsidRPr="005B57AE">
        <w:rPr>
          <w:color w:val="auto"/>
          <w:lang w:val="ro-RO"/>
        </w:rPr>
        <w:t>-202</w:t>
      </w:r>
      <w:r w:rsidR="00E97C4C" w:rsidRPr="005B57AE">
        <w:rPr>
          <w:color w:val="auto"/>
          <w:lang w:val="ro-RO"/>
        </w:rPr>
        <w:t>5</w:t>
      </w:r>
      <w:r w:rsidRPr="005B57AE">
        <w:rPr>
          <w:color w:val="auto"/>
          <w:lang w:val="ro-RO"/>
        </w:rPr>
        <w:t>.</w:t>
      </w:r>
    </w:p>
    <w:p w14:paraId="1CE3EF93" w14:textId="77777777" w:rsidR="004B5924" w:rsidRDefault="004B5924"/>
    <w:sectPr w:rsidR="004B5924">
      <w:headerReference w:type="first" r:id="rId16"/>
      <w:pgSz w:w="11905" w:h="16837"/>
      <w:pgMar w:top="1134" w:right="990" w:bottom="851" w:left="1276" w:header="113"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267FB" w14:textId="77777777" w:rsidR="00F859BC" w:rsidRDefault="00F859BC">
      <w:r>
        <w:separator/>
      </w:r>
    </w:p>
  </w:endnote>
  <w:endnote w:type="continuationSeparator" w:id="0">
    <w:p w14:paraId="34AF92AF" w14:textId="77777777" w:rsidR="00F859BC" w:rsidRDefault="00F8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628486"/>
    </w:sdtPr>
    <w:sdtEndPr>
      <w:rPr>
        <w:sz w:val="20"/>
      </w:rPr>
    </w:sdtEndPr>
    <w:sdtContent>
      <w:p w14:paraId="2A37009D" w14:textId="6B9965B6" w:rsidR="004B5924" w:rsidRDefault="004808C1">
        <w:pPr>
          <w:pStyle w:val="Footer"/>
          <w:jc w:val="right"/>
          <w:rPr>
            <w:sz w:val="20"/>
          </w:rPr>
        </w:pPr>
        <w:r>
          <w:rPr>
            <w:sz w:val="20"/>
          </w:rPr>
          <w:fldChar w:fldCharType="begin"/>
        </w:r>
        <w:r>
          <w:rPr>
            <w:sz w:val="20"/>
          </w:rPr>
          <w:instrText xml:space="preserve"> PAGE   \* MERGEFORMAT </w:instrText>
        </w:r>
        <w:r>
          <w:rPr>
            <w:sz w:val="20"/>
          </w:rPr>
          <w:fldChar w:fldCharType="separate"/>
        </w:r>
        <w:r w:rsidR="0066548D">
          <w:rPr>
            <w:noProof/>
            <w:sz w:val="20"/>
          </w:rPr>
          <w:t>16</w:t>
        </w:r>
        <w:r>
          <w:rPr>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491548"/>
    </w:sdtPr>
    <w:sdtEndPr/>
    <w:sdtContent>
      <w:p w14:paraId="70060574" w14:textId="656A38FE" w:rsidR="004B5924" w:rsidRDefault="004808C1">
        <w:pPr>
          <w:pStyle w:val="Footer"/>
          <w:jc w:val="right"/>
        </w:pPr>
        <w:r>
          <w:fldChar w:fldCharType="begin"/>
        </w:r>
        <w:r>
          <w:instrText xml:space="preserve"> PAGE   \* MERGEFORMAT </w:instrText>
        </w:r>
        <w:r>
          <w:fldChar w:fldCharType="separate"/>
        </w:r>
        <w:r w:rsidR="0066548D">
          <w:rPr>
            <w:noProof/>
          </w:rPr>
          <w:t>1</w:t>
        </w:r>
        <w:r>
          <w:fldChar w:fldCharType="end"/>
        </w:r>
      </w:p>
    </w:sdtContent>
  </w:sdt>
  <w:p w14:paraId="320C1EF7" w14:textId="77777777" w:rsidR="004B5924" w:rsidRDefault="004B5924">
    <w:pPr>
      <w:tabs>
        <w:tab w:val="center" w:pos="4680"/>
        <w:tab w:val="right" w:pos="9360"/>
      </w:tabs>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4073" w14:textId="77777777" w:rsidR="00F859BC" w:rsidRDefault="00F859BC">
      <w:r>
        <w:separator/>
      </w:r>
    </w:p>
  </w:footnote>
  <w:footnote w:type="continuationSeparator" w:id="0">
    <w:p w14:paraId="713C55B9" w14:textId="77777777" w:rsidR="00F859BC" w:rsidRDefault="00F859BC">
      <w:r>
        <w:continuationSeparator/>
      </w:r>
    </w:p>
  </w:footnote>
  <w:footnote w:id="1">
    <w:p w14:paraId="3A81E0E6" w14:textId="77777777" w:rsidR="004B5924" w:rsidRDefault="004808C1">
      <w:pPr>
        <w:pStyle w:val="FootnoteText"/>
        <w:rPr>
          <w:lang w:val="ro-RO"/>
        </w:rPr>
      </w:pPr>
      <w:r>
        <w:rPr>
          <w:rStyle w:val="FootnoteReference"/>
        </w:rPr>
        <w:footnoteRef/>
      </w:r>
      <w:r>
        <w:t xml:space="preserve"> In momentul in care documentul se postează în mediul online (site-ul facultăţii/departamentului/universității) pagina a doua cu semnăturile persoanelor implicate în procesul de elaborare, avizare, aprobare, trebuie omisă/eliminată.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94E57" w14:textId="77777777" w:rsidR="004B5924" w:rsidRDefault="004808C1">
    <w:pPr>
      <w:tabs>
        <w:tab w:val="left" w:pos="7254"/>
      </w:tabs>
      <w:ind w:right="-624"/>
    </w:pPr>
    <w:r>
      <w:rPr>
        <w:noProof/>
        <w:lang w:val="en-US" w:eastAsia="en-US"/>
      </w:rPr>
      <w:drawing>
        <wp:inline distT="0" distB="0" distL="0" distR="0" wp14:anchorId="0028BE2A" wp14:editId="36140EA0">
          <wp:extent cx="6457950" cy="10407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60608" cy="104119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4" w:type="dxa"/>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159"/>
      <w:gridCol w:w="4394"/>
      <w:gridCol w:w="1771"/>
    </w:tblGrid>
    <w:tr w:rsidR="004B5924" w14:paraId="2080D658" w14:textId="77777777">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14:paraId="1C64539A" w14:textId="77777777" w:rsidR="004B5924" w:rsidRDefault="004808C1">
          <w:pPr>
            <w:ind w:hanging="2"/>
            <w:jc w:val="center"/>
            <w:rPr>
              <w:color w:val="000000"/>
              <w:sz w:val="20"/>
              <w:szCs w:val="20"/>
            </w:rPr>
          </w:pPr>
          <w:r>
            <w:rPr>
              <w:color w:val="000000"/>
              <w:sz w:val="20"/>
              <w:szCs w:val="20"/>
            </w:rPr>
            <w:t>Universitatea  „Alexandru Ioan Cuza” din Iași</w:t>
          </w:r>
        </w:p>
      </w:tc>
      <w:tc>
        <w:tcPr>
          <w:tcW w:w="4394" w:type="dxa"/>
          <w:tcBorders>
            <w:top w:val="single" w:sz="6" w:space="0" w:color="000000"/>
            <w:left w:val="single" w:sz="6" w:space="0" w:color="000000"/>
            <w:bottom w:val="single" w:sz="6" w:space="0" w:color="000000"/>
            <w:right w:val="single" w:sz="6" w:space="0" w:color="000000"/>
          </w:tcBorders>
          <w:vAlign w:val="center"/>
        </w:tcPr>
        <w:p w14:paraId="4FE80ABE" w14:textId="16DA670A" w:rsidR="004B5924" w:rsidRDefault="004808C1">
          <w:pPr>
            <w:spacing w:line="276" w:lineRule="auto"/>
            <w:ind w:hanging="2"/>
            <w:jc w:val="center"/>
            <w:rPr>
              <w:sz w:val="20"/>
              <w:szCs w:val="20"/>
            </w:rPr>
          </w:pPr>
          <w:r>
            <w:rPr>
              <w:bCs/>
              <w:sz w:val="20"/>
              <w:szCs w:val="20"/>
            </w:rPr>
            <w:t xml:space="preserve">Regulament privind organizarea şi desfăşurarea admiterii în ciclul de studii universitare de doctorat pentru anul universitar </w:t>
          </w:r>
          <w:r w:rsidRPr="009F39BE">
            <w:rPr>
              <w:bCs/>
              <w:sz w:val="20"/>
              <w:szCs w:val="20"/>
            </w:rPr>
            <w:t>202</w:t>
          </w:r>
          <w:r w:rsidR="00264A35" w:rsidRPr="009F39BE">
            <w:rPr>
              <w:bCs/>
              <w:sz w:val="20"/>
              <w:szCs w:val="20"/>
            </w:rPr>
            <w:t>4</w:t>
          </w:r>
          <w:r w:rsidRPr="009F39BE">
            <w:rPr>
              <w:bCs/>
              <w:sz w:val="20"/>
              <w:szCs w:val="20"/>
            </w:rPr>
            <w:t xml:space="preserve"> - 202</w:t>
          </w:r>
          <w:r w:rsidR="00264A35" w:rsidRPr="009F39BE">
            <w:rPr>
              <w:bCs/>
              <w:sz w:val="20"/>
              <w:szCs w:val="20"/>
            </w:rPr>
            <w:t>5</w:t>
          </w:r>
        </w:p>
      </w:tc>
      <w:tc>
        <w:tcPr>
          <w:tcW w:w="1771" w:type="dxa"/>
          <w:tcBorders>
            <w:top w:val="single" w:sz="6" w:space="0" w:color="000000"/>
            <w:left w:val="single" w:sz="6" w:space="0" w:color="000000"/>
            <w:bottom w:val="single" w:sz="6" w:space="0" w:color="000000"/>
            <w:right w:val="single" w:sz="6" w:space="0" w:color="000000"/>
          </w:tcBorders>
          <w:vAlign w:val="center"/>
        </w:tcPr>
        <w:p w14:paraId="13F10606" w14:textId="5CE1668F" w:rsidR="004B5924" w:rsidRDefault="004808C1" w:rsidP="00576901">
          <w:pPr>
            <w:ind w:hanging="2"/>
            <w:rPr>
              <w:color w:val="000000"/>
              <w:sz w:val="20"/>
              <w:szCs w:val="20"/>
            </w:rPr>
          </w:pPr>
          <w:r>
            <w:rPr>
              <w:color w:val="000000"/>
              <w:sz w:val="20"/>
              <w:szCs w:val="20"/>
            </w:rPr>
            <w:t>Ediția 1</w:t>
          </w:r>
          <w:r>
            <w:rPr>
              <w:color w:val="000000"/>
              <w:sz w:val="20"/>
              <w:szCs w:val="20"/>
            </w:rPr>
            <w:br/>
            <w:t>Data:</w:t>
          </w:r>
          <w:r w:rsidR="00576901" w:rsidRPr="009F39BE">
            <w:rPr>
              <w:sz w:val="20"/>
              <w:szCs w:val="20"/>
            </w:rPr>
            <w:t>12</w:t>
          </w:r>
          <w:r w:rsidRPr="009F39BE">
            <w:rPr>
              <w:sz w:val="20"/>
              <w:szCs w:val="20"/>
            </w:rPr>
            <w:t>.0</w:t>
          </w:r>
          <w:r w:rsidR="00264A35" w:rsidRPr="009F39BE">
            <w:rPr>
              <w:sz w:val="20"/>
              <w:szCs w:val="20"/>
            </w:rPr>
            <w:t>1</w:t>
          </w:r>
          <w:r w:rsidRPr="009F39BE">
            <w:rPr>
              <w:sz w:val="20"/>
              <w:szCs w:val="20"/>
            </w:rPr>
            <w:t>.202</w:t>
          </w:r>
          <w:r w:rsidR="00264A35" w:rsidRPr="009F39BE">
            <w:rPr>
              <w:sz w:val="20"/>
              <w:szCs w:val="20"/>
            </w:rPr>
            <w:t>4</w:t>
          </w:r>
        </w:p>
      </w:tc>
    </w:tr>
    <w:tr w:rsidR="004B5924" w14:paraId="51AF6533" w14:textId="77777777">
      <w:trPr>
        <w:jc w:val="center"/>
      </w:trPr>
      <w:tc>
        <w:tcPr>
          <w:tcW w:w="4159" w:type="dxa"/>
          <w:tcBorders>
            <w:top w:val="single" w:sz="6" w:space="0" w:color="000000"/>
            <w:left w:val="single" w:sz="6" w:space="0" w:color="000000"/>
            <w:bottom w:val="single" w:sz="6" w:space="0" w:color="000000"/>
            <w:right w:val="single" w:sz="6" w:space="0" w:color="000000"/>
          </w:tcBorders>
          <w:vAlign w:val="center"/>
        </w:tcPr>
        <w:p w14:paraId="09ABB05C" w14:textId="77777777" w:rsidR="004B5924" w:rsidRDefault="004808C1">
          <w:pPr>
            <w:jc w:val="center"/>
            <w:rPr>
              <w:sz w:val="20"/>
              <w:szCs w:val="20"/>
            </w:rPr>
          </w:pPr>
          <w:r>
            <w:rPr>
              <w:sz w:val="20"/>
              <w:szCs w:val="20"/>
            </w:rPr>
            <w:t>CONSILIUL PENTRU</w:t>
          </w:r>
        </w:p>
        <w:p w14:paraId="1A996A5A" w14:textId="77777777" w:rsidR="004B5924" w:rsidRDefault="004808C1">
          <w:pPr>
            <w:ind w:hanging="2"/>
            <w:jc w:val="center"/>
            <w:rPr>
              <w:color w:val="000000"/>
              <w:sz w:val="20"/>
              <w:szCs w:val="20"/>
            </w:rPr>
          </w:pPr>
          <w:r>
            <w:rPr>
              <w:sz w:val="20"/>
              <w:szCs w:val="20"/>
            </w:rPr>
            <w:t>STUDIILE UNIVERSITARE DE DOCTORAT</w:t>
          </w:r>
        </w:p>
      </w:tc>
      <w:tc>
        <w:tcPr>
          <w:tcW w:w="4394" w:type="dxa"/>
          <w:tcBorders>
            <w:top w:val="single" w:sz="6" w:space="0" w:color="000000"/>
            <w:left w:val="single" w:sz="6" w:space="0" w:color="000000"/>
            <w:bottom w:val="single" w:sz="6" w:space="0" w:color="000000"/>
            <w:right w:val="single" w:sz="6" w:space="0" w:color="000000"/>
          </w:tcBorders>
          <w:vAlign w:val="center"/>
        </w:tcPr>
        <w:p w14:paraId="0A91C9A1" w14:textId="77777777" w:rsidR="004B5924" w:rsidRDefault="004808C1">
          <w:pPr>
            <w:spacing w:line="276" w:lineRule="auto"/>
            <w:ind w:hanging="2"/>
            <w:jc w:val="center"/>
            <w:rPr>
              <w:sz w:val="20"/>
              <w:szCs w:val="20"/>
            </w:rPr>
          </w:pPr>
          <w:r>
            <w:rPr>
              <w:sz w:val="20"/>
              <w:szCs w:val="20"/>
            </w:rPr>
            <w:t>Cod: UAIC CSUD REG 01</w:t>
          </w:r>
        </w:p>
      </w:tc>
      <w:tc>
        <w:tcPr>
          <w:tcW w:w="1771" w:type="dxa"/>
          <w:tcBorders>
            <w:top w:val="single" w:sz="6" w:space="0" w:color="000000"/>
            <w:left w:val="single" w:sz="6" w:space="0" w:color="000000"/>
            <w:bottom w:val="single" w:sz="6" w:space="0" w:color="000000"/>
            <w:right w:val="single" w:sz="6" w:space="0" w:color="000000"/>
          </w:tcBorders>
          <w:vAlign w:val="center"/>
        </w:tcPr>
        <w:p w14:paraId="15F0CB2E" w14:textId="77777777" w:rsidR="004B5924" w:rsidRDefault="004808C1">
          <w:pPr>
            <w:ind w:hanging="2"/>
            <w:rPr>
              <w:color w:val="000000"/>
              <w:sz w:val="20"/>
              <w:szCs w:val="20"/>
            </w:rPr>
          </w:pPr>
          <w:r>
            <w:rPr>
              <w:color w:val="000000"/>
              <w:sz w:val="20"/>
              <w:szCs w:val="20"/>
            </w:rPr>
            <w:t>Revizia 3</w:t>
          </w:r>
        </w:p>
      </w:tc>
    </w:tr>
  </w:tbl>
  <w:p w14:paraId="50CA25ED" w14:textId="77777777" w:rsidR="004B5924" w:rsidRDefault="004B59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3293" w14:textId="77777777" w:rsidR="004B5924" w:rsidRDefault="004B5924">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2123"/>
    <w:multiLevelType w:val="multilevel"/>
    <w:tmpl w:val="2CF32123"/>
    <w:lvl w:ilvl="0">
      <w:start w:val="1"/>
      <w:numFmt w:val="decimal"/>
      <w:lvlText w:val="(%1)"/>
      <w:lvlJc w:val="left"/>
      <w:pPr>
        <w:ind w:left="360" w:hanging="360"/>
      </w:pPr>
      <w:rPr>
        <w:rFonts w:hint="default"/>
        <w:b w:val="0"/>
        <w:i w:val="0"/>
        <w:strike w:val="0"/>
        <w:dstrike w:val="0"/>
        <w:color w:val="000000"/>
        <w:sz w:val="23"/>
        <w:szCs w:val="23"/>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3A62406"/>
    <w:multiLevelType w:val="multilevel"/>
    <w:tmpl w:val="33A62406"/>
    <w:lvl w:ilvl="0">
      <w:start w:val="1"/>
      <w:numFmt w:val="decimal"/>
      <w:lvlText w:val="(%1)"/>
      <w:lvlJc w:val="left"/>
      <w:pPr>
        <w:ind w:left="360" w:hanging="360"/>
      </w:pPr>
      <w:rPr>
        <w:rFonts w:hint="default"/>
        <w:b w:val="0"/>
        <w:i w:val="0"/>
        <w:strike w:val="0"/>
        <w:dstrike w:val="0"/>
        <w:color w:val="000000"/>
        <w:sz w:val="23"/>
        <w:szCs w:val="23"/>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1B2B2E"/>
    <w:multiLevelType w:val="multilevel"/>
    <w:tmpl w:val="3C1B2B2E"/>
    <w:lvl w:ilvl="0">
      <w:start w:val="4"/>
      <w:numFmt w:val="bullet"/>
      <w:lvlText w:val="-"/>
      <w:lvlJc w:val="left"/>
      <w:pPr>
        <w:ind w:left="2148" w:hanging="360"/>
      </w:pPr>
      <w:rPr>
        <w:rFonts w:ascii="Times New Roman" w:eastAsia="Times New Roman" w:hAnsi="Times New Roman" w:cs="Times New Roman" w:hint="default"/>
      </w:rPr>
    </w:lvl>
    <w:lvl w:ilvl="1">
      <w:start w:val="1"/>
      <w:numFmt w:val="bullet"/>
      <w:lvlText w:val="o"/>
      <w:lvlJc w:val="left"/>
      <w:pPr>
        <w:ind w:left="2868" w:hanging="360"/>
      </w:pPr>
      <w:rPr>
        <w:rFonts w:ascii="Courier New" w:hAnsi="Courier New" w:cs="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cs="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cs="Courier New" w:hint="default"/>
      </w:rPr>
    </w:lvl>
    <w:lvl w:ilvl="8">
      <w:start w:val="1"/>
      <w:numFmt w:val="bullet"/>
      <w:lvlText w:val=""/>
      <w:lvlJc w:val="left"/>
      <w:pPr>
        <w:ind w:left="7908" w:hanging="360"/>
      </w:pPr>
      <w:rPr>
        <w:rFonts w:ascii="Wingdings" w:hAnsi="Wingdings" w:hint="default"/>
      </w:rPr>
    </w:lvl>
  </w:abstractNum>
  <w:abstractNum w:abstractNumId="3" w15:restartNumberingAfterBreak="0">
    <w:nsid w:val="3D0C3C73"/>
    <w:multiLevelType w:val="multilevel"/>
    <w:tmpl w:val="3D0C3C73"/>
    <w:lvl w:ilvl="0">
      <w:start w:val="1"/>
      <w:numFmt w:val="lowerLetter"/>
      <w:lvlText w:val="%1)"/>
      <w:lvlJc w:val="left"/>
      <w:pPr>
        <w:ind w:left="1778" w:hanging="360"/>
      </w:pPr>
      <w:rPr>
        <w:rFonts w:ascii="Times New Roman" w:eastAsia="Trebuchet MS" w:hAnsi="Times New Roman" w:cs="Times New Roman" w:hint="default"/>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rFonts w:ascii="Trebuchet MS" w:eastAsia="Trebuchet MS" w:hAnsi="Trebuchet MS" w:cs="Trebuchet MS"/>
        <w:sz w:val="22"/>
        <w:szCs w:val="22"/>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0BA6BEF"/>
    <w:multiLevelType w:val="multilevel"/>
    <w:tmpl w:val="40BA6BEF"/>
    <w:lvl w:ilvl="0">
      <w:start w:val="1"/>
      <w:numFmt w:val="decimal"/>
      <w:lvlText w:val="(%1)"/>
      <w:lvlJc w:val="left"/>
      <w:pPr>
        <w:ind w:left="690" w:hanging="420"/>
      </w:pPr>
      <w:rPr>
        <w:rFonts w:hint="default"/>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47B8186A"/>
    <w:multiLevelType w:val="multilevel"/>
    <w:tmpl w:val="47B8186A"/>
    <w:lvl w:ilvl="0">
      <w:start w:val="1"/>
      <w:numFmt w:val="decimal"/>
      <w:lvlText w:val="(%1)"/>
      <w:lvlJc w:val="left"/>
      <w:pPr>
        <w:ind w:left="0" w:hanging="360"/>
      </w:pPr>
      <w:rPr>
        <w:rFonts w:hint="default"/>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4A7D59A0"/>
    <w:multiLevelType w:val="multilevel"/>
    <w:tmpl w:val="4A7D59A0"/>
    <w:lvl w:ilvl="0">
      <w:start w:val="1"/>
      <w:numFmt w:val="decimal"/>
      <w:lvlText w:val="Art. %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2C384B"/>
    <w:multiLevelType w:val="multilevel"/>
    <w:tmpl w:val="6F2C384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443726A"/>
    <w:multiLevelType w:val="multilevel"/>
    <w:tmpl w:val="7443726A"/>
    <w:lvl w:ilvl="0">
      <w:start w:val="1"/>
      <w:numFmt w:val="decimal"/>
      <w:lvlText w:val="(%1)"/>
      <w:lvlJc w:val="left"/>
      <w:pPr>
        <w:ind w:left="360" w:hanging="360"/>
      </w:pPr>
      <w:rPr>
        <w:rFonts w:hint="default"/>
        <w:b w:val="0"/>
        <w:i w:val="0"/>
        <w:strike w:val="0"/>
        <w:dstrike w:val="0"/>
        <w:color w:val="000000"/>
        <w:sz w:val="23"/>
        <w:szCs w:val="23"/>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C0523B4"/>
    <w:multiLevelType w:val="multilevel"/>
    <w:tmpl w:val="7C0523B4"/>
    <w:lvl w:ilvl="0">
      <w:start w:val="1"/>
      <w:numFmt w:val="decimal"/>
      <w:pStyle w:val="TextArticol"/>
      <w:suff w:val="space"/>
      <w:lvlText w:val="Art. %1"/>
      <w:lvlJc w:val="left"/>
      <w:pPr>
        <w:ind w:left="0" w:firstLine="0"/>
      </w:pPr>
      <w:rPr>
        <w:rFonts w:cs="Times New Roman"/>
        <w:b/>
        <w:i w:val="0"/>
      </w:rPr>
    </w:lvl>
    <w:lvl w:ilvl="1">
      <w:start w:val="1"/>
      <w:numFmt w:val="decimal"/>
      <w:pStyle w:val="TextAlineat"/>
      <w:suff w:val="space"/>
      <w:lvlText w:val="(%2)"/>
      <w:lvlJc w:val="left"/>
      <w:pPr>
        <w:ind w:left="0" w:firstLine="0"/>
      </w:pPr>
      <w:rPr>
        <w:rFonts w:cs="Times New Roman"/>
      </w:rPr>
    </w:lvl>
    <w:lvl w:ilvl="2">
      <w:start w:val="1"/>
      <w:numFmt w:val="lowerLetter"/>
      <w:pStyle w:val="TextSubpunct"/>
      <w:suff w:val="space"/>
      <w:lvlText w:val="%3)"/>
      <w:lvlJc w:val="left"/>
      <w:pPr>
        <w:ind w:left="0" w:firstLine="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2880"/>
        </w:tabs>
        <w:ind w:left="2880" w:hanging="360"/>
      </w:pPr>
      <w:rPr>
        <w:rFonts w:cs="Times New Roman"/>
      </w:rPr>
    </w:lvl>
    <w:lvl w:ilvl="5">
      <w:start w:val="1"/>
      <w:numFmt w:val="lowerRoman"/>
      <w:lvlText w:val="(%6)"/>
      <w:lvlJc w:val="left"/>
      <w:pPr>
        <w:tabs>
          <w:tab w:val="left" w:pos="3240"/>
        </w:tabs>
        <w:ind w:left="3240" w:hanging="360"/>
      </w:pPr>
      <w:rPr>
        <w:rFonts w:cs="Times New Roman"/>
      </w:rPr>
    </w:lvl>
    <w:lvl w:ilvl="6">
      <w:start w:val="1"/>
      <w:numFmt w:val="decimal"/>
      <w:lvlText w:val="%7."/>
      <w:lvlJc w:val="left"/>
      <w:pPr>
        <w:tabs>
          <w:tab w:val="left" w:pos="3600"/>
        </w:tabs>
        <w:ind w:left="3600" w:hanging="360"/>
      </w:pPr>
      <w:rPr>
        <w:rFonts w:cs="Times New Roman"/>
      </w:rPr>
    </w:lvl>
    <w:lvl w:ilvl="7">
      <w:start w:val="1"/>
      <w:numFmt w:val="lowerLetter"/>
      <w:lvlText w:val="%8."/>
      <w:lvlJc w:val="left"/>
      <w:pPr>
        <w:tabs>
          <w:tab w:val="left" w:pos="3960"/>
        </w:tabs>
        <w:ind w:left="3960" w:hanging="360"/>
      </w:pPr>
      <w:rPr>
        <w:rFonts w:cs="Times New Roman"/>
      </w:rPr>
    </w:lvl>
    <w:lvl w:ilvl="8">
      <w:start w:val="1"/>
      <w:numFmt w:val="lowerRoman"/>
      <w:lvlText w:val="%9."/>
      <w:lvlJc w:val="left"/>
      <w:pPr>
        <w:tabs>
          <w:tab w:val="left" w:pos="4320"/>
        </w:tabs>
        <w:ind w:left="4320" w:hanging="360"/>
      </w:pPr>
      <w:rPr>
        <w:rFonts w:cs="Times New Roman"/>
      </w:rPr>
    </w:lvl>
  </w:abstractNum>
  <w:num w:numId="1">
    <w:abstractNumId w:val="9"/>
  </w:num>
  <w:num w:numId="2">
    <w:abstractNumId w:val="6"/>
  </w:num>
  <w:num w:numId="3">
    <w:abstractNumId w:val="0"/>
  </w:num>
  <w:num w:numId="4">
    <w:abstractNumId w:val="8"/>
  </w:num>
  <w:num w:numId="5">
    <w:abstractNumId w:val="1"/>
  </w:num>
  <w:num w:numId="6">
    <w:abstractNumId w:val="5"/>
  </w:num>
  <w:num w:numId="7">
    <w:abstractNumId w:val="3"/>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8C"/>
    <w:rsid w:val="00003617"/>
    <w:rsid w:val="000054AB"/>
    <w:rsid w:val="00012BF9"/>
    <w:rsid w:val="00016F47"/>
    <w:rsid w:val="00024A9A"/>
    <w:rsid w:val="00025198"/>
    <w:rsid w:val="000262D4"/>
    <w:rsid w:val="00031B35"/>
    <w:rsid w:val="00035270"/>
    <w:rsid w:val="000406FE"/>
    <w:rsid w:val="00050373"/>
    <w:rsid w:val="00053DF1"/>
    <w:rsid w:val="00055AB2"/>
    <w:rsid w:val="00055E04"/>
    <w:rsid w:val="00056F0D"/>
    <w:rsid w:val="00065EBF"/>
    <w:rsid w:val="00071C2F"/>
    <w:rsid w:val="00075409"/>
    <w:rsid w:val="0008700A"/>
    <w:rsid w:val="0009389E"/>
    <w:rsid w:val="000A1485"/>
    <w:rsid w:val="000B34B2"/>
    <w:rsid w:val="000B6F7C"/>
    <w:rsid w:val="000E220A"/>
    <w:rsid w:val="000E404B"/>
    <w:rsid w:val="000E45FF"/>
    <w:rsid w:val="0010339B"/>
    <w:rsid w:val="001068AC"/>
    <w:rsid w:val="00117BC4"/>
    <w:rsid w:val="00126291"/>
    <w:rsid w:val="00134579"/>
    <w:rsid w:val="00144CF3"/>
    <w:rsid w:val="001459A1"/>
    <w:rsid w:val="001644A2"/>
    <w:rsid w:val="00183369"/>
    <w:rsid w:val="001958A2"/>
    <w:rsid w:val="001A07AB"/>
    <w:rsid w:val="001A10E0"/>
    <w:rsid w:val="001A2E72"/>
    <w:rsid w:val="001A4149"/>
    <w:rsid w:val="001A5D09"/>
    <w:rsid w:val="001A5E99"/>
    <w:rsid w:val="001B397E"/>
    <w:rsid w:val="001B687C"/>
    <w:rsid w:val="001C1149"/>
    <w:rsid w:val="001C166D"/>
    <w:rsid w:val="001D0B94"/>
    <w:rsid w:val="001E0CF3"/>
    <w:rsid w:val="001E3980"/>
    <w:rsid w:val="001F33E3"/>
    <w:rsid w:val="00215E1A"/>
    <w:rsid w:val="002273F5"/>
    <w:rsid w:val="00227417"/>
    <w:rsid w:val="00231D1E"/>
    <w:rsid w:val="00233FCE"/>
    <w:rsid w:val="0024013F"/>
    <w:rsid w:val="00240B92"/>
    <w:rsid w:val="00253F3E"/>
    <w:rsid w:val="00255742"/>
    <w:rsid w:val="00263155"/>
    <w:rsid w:val="0026424A"/>
    <w:rsid w:val="00264A35"/>
    <w:rsid w:val="002651AC"/>
    <w:rsid w:val="00265C66"/>
    <w:rsid w:val="00270820"/>
    <w:rsid w:val="00283E46"/>
    <w:rsid w:val="00293EA3"/>
    <w:rsid w:val="002A2562"/>
    <w:rsid w:val="002A31AC"/>
    <w:rsid w:val="002A559A"/>
    <w:rsid w:val="002D3741"/>
    <w:rsid w:val="002D6410"/>
    <w:rsid w:val="002E359A"/>
    <w:rsid w:val="002E6868"/>
    <w:rsid w:val="002F3917"/>
    <w:rsid w:val="002F622C"/>
    <w:rsid w:val="003106A1"/>
    <w:rsid w:val="00314686"/>
    <w:rsid w:val="003313BA"/>
    <w:rsid w:val="00332011"/>
    <w:rsid w:val="00332AB3"/>
    <w:rsid w:val="00341F75"/>
    <w:rsid w:val="00344868"/>
    <w:rsid w:val="0034522E"/>
    <w:rsid w:val="00375439"/>
    <w:rsid w:val="00375B99"/>
    <w:rsid w:val="00376EAE"/>
    <w:rsid w:val="003827F3"/>
    <w:rsid w:val="0038281B"/>
    <w:rsid w:val="0039191C"/>
    <w:rsid w:val="00393B67"/>
    <w:rsid w:val="00397863"/>
    <w:rsid w:val="003A03EE"/>
    <w:rsid w:val="003B3E3B"/>
    <w:rsid w:val="003B7096"/>
    <w:rsid w:val="003C465C"/>
    <w:rsid w:val="003C5949"/>
    <w:rsid w:val="003C6C82"/>
    <w:rsid w:val="003D68E4"/>
    <w:rsid w:val="00400BE3"/>
    <w:rsid w:val="0041433F"/>
    <w:rsid w:val="00425293"/>
    <w:rsid w:val="00426E2E"/>
    <w:rsid w:val="00432AFE"/>
    <w:rsid w:val="00442F76"/>
    <w:rsid w:val="00451CCC"/>
    <w:rsid w:val="004713DE"/>
    <w:rsid w:val="00471621"/>
    <w:rsid w:val="0047515D"/>
    <w:rsid w:val="00475882"/>
    <w:rsid w:val="004808C1"/>
    <w:rsid w:val="004843B8"/>
    <w:rsid w:val="004873C7"/>
    <w:rsid w:val="00497BB9"/>
    <w:rsid w:val="004A4F41"/>
    <w:rsid w:val="004B415F"/>
    <w:rsid w:val="004B5924"/>
    <w:rsid w:val="004C3ECC"/>
    <w:rsid w:val="004C4115"/>
    <w:rsid w:val="004D4B73"/>
    <w:rsid w:val="004E5207"/>
    <w:rsid w:val="004E6633"/>
    <w:rsid w:val="004F1D6B"/>
    <w:rsid w:val="004F35A3"/>
    <w:rsid w:val="00502431"/>
    <w:rsid w:val="00511967"/>
    <w:rsid w:val="005408BB"/>
    <w:rsid w:val="005534B8"/>
    <w:rsid w:val="00557083"/>
    <w:rsid w:val="005761DE"/>
    <w:rsid w:val="00576901"/>
    <w:rsid w:val="005864FA"/>
    <w:rsid w:val="005A0923"/>
    <w:rsid w:val="005A46A8"/>
    <w:rsid w:val="005B57AE"/>
    <w:rsid w:val="005C40BA"/>
    <w:rsid w:val="005C482D"/>
    <w:rsid w:val="005D0C39"/>
    <w:rsid w:val="005D3E27"/>
    <w:rsid w:val="005E2176"/>
    <w:rsid w:val="005E4CFF"/>
    <w:rsid w:val="005E6887"/>
    <w:rsid w:val="005F63D5"/>
    <w:rsid w:val="00613FC4"/>
    <w:rsid w:val="00614645"/>
    <w:rsid w:val="00614D76"/>
    <w:rsid w:val="00623A75"/>
    <w:rsid w:val="00626A2E"/>
    <w:rsid w:val="00640FA7"/>
    <w:rsid w:val="0064109F"/>
    <w:rsid w:val="00654DAC"/>
    <w:rsid w:val="0066548D"/>
    <w:rsid w:val="006902A2"/>
    <w:rsid w:val="006954D4"/>
    <w:rsid w:val="006C0D1C"/>
    <w:rsid w:val="006D0B84"/>
    <w:rsid w:val="006E007D"/>
    <w:rsid w:val="006E0BAF"/>
    <w:rsid w:val="006E4357"/>
    <w:rsid w:val="006E46DB"/>
    <w:rsid w:val="006F5B01"/>
    <w:rsid w:val="00701C96"/>
    <w:rsid w:val="00704061"/>
    <w:rsid w:val="00704536"/>
    <w:rsid w:val="0071126A"/>
    <w:rsid w:val="00716CBD"/>
    <w:rsid w:val="0072767F"/>
    <w:rsid w:val="00734D50"/>
    <w:rsid w:val="0073652D"/>
    <w:rsid w:val="0074215B"/>
    <w:rsid w:val="00743A07"/>
    <w:rsid w:val="00751A6A"/>
    <w:rsid w:val="00757408"/>
    <w:rsid w:val="00761B97"/>
    <w:rsid w:val="007626E3"/>
    <w:rsid w:val="00764DC2"/>
    <w:rsid w:val="0077722D"/>
    <w:rsid w:val="007825BF"/>
    <w:rsid w:val="00793EB1"/>
    <w:rsid w:val="007A6125"/>
    <w:rsid w:val="007A7291"/>
    <w:rsid w:val="007B3866"/>
    <w:rsid w:val="007C2270"/>
    <w:rsid w:val="007C6579"/>
    <w:rsid w:val="007D47DC"/>
    <w:rsid w:val="007D7AA5"/>
    <w:rsid w:val="007E3FC8"/>
    <w:rsid w:val="007E715E"/>
    <w:rsid w:val="007E7778"/>
    <w:rsid w:val="007F70F7"/>
    <w:rsid w:val="0080204D"/>
    <w:rsid w:val="0080329C"/>
    <w:rsid w:val="00807D9A"/>
    <w:rsid w:val="008145A4"/>
    <w:rsid w:val="008212EA"/>
    <w:rsid w:val="00831890"/>
    <w:rsid w:val="00831D44"/>
    <w:rsid w:val="008438CF"/>
    <w:rsid w:val="00843E3F"/>
    <w:rsid w:val="0085188A"/>
    <w:rsid w:val="00860B27"/>
    <w:rsid w:val="00864A9F"/>
    <w:rsid w:val="008653A5"/>
    <w:rsid w:val="00870D70"/>
    <w:rsid w:val="00876CCD"/>
    <w:rsid w:val="0088448C"/>
    <w:rsid w:val="00885EEF"/>
    <w:rsid w:val="0089018B"/>
    <w:rsid w:val="008A2525"/>
    <w:rsid w:val="008A62B9"/>
    <w:rsid w:val="008B1207"/>
    <w:rsid w:val="008B2D5B"/>
    <w:rsid w:val="008B4D41"/>
    <w:rsid w:val="008B5D2F"/>
    <w:rsid w:val="008C65DC"/>
    <w:rsid w:val="008D497D"/>
    <w:rsid w:val="008E3E6D"/>
    <w:rsid w:val="008E661E"/>
    <w:rsid w:val="008E6DB4"/>
    <w:rsid w:val="008F3DF0"/>
    <w:rsid w:val="00906017"/>
    <w:rsid w:val="00914AD3"/>
    <w:rsid w:val="0091599E"/>
    <w:rsid w:val="0091746C"/>
    <w:rsid w:val="00936B07"/>
    <w:rsid w:val="0094576C"/>
    <w:rsid w:val="0095087F"/>
    <w:rsid w:val="00956957"/>
    <w:rsid w:val="00961F5B"/>
    <w:rsid w:val="00966624"/>
    <w:rsid w:val="00971308"/>
    <w:rsid w:val="00972725"/>
    <w:rsid w:val="00974509"/>
    <w:rsid w:val="0098519A"/>
    <w:rsid w:val="00986FF1"/>
    <w:rsid w:val="00990559"/>
    <w:rsid w:val="009909B3"/>
    <w:rsid w:val="009A2745"/>
    <w:rsid w:val="009B095B"/>
    <w:rsid w:val="009D6E1F"/>
    <w:rsid w:val="009E26E4"/>
    <w:rsid w:val="009E6B82"/>
    <w:rsid w:val="009E7E71"/>
    <w:rsid w:val="009F208E"/>
    <w:rsid w:val="009F39BE"/>
    <w:rsid w:val="009F6326"/>
    <w:rsid w:val="00A20225"/>
    <w:rsid w:val="00A55890"/>
    <w:rsid w:val="00A73E5B"/>
    <w:rsid w:val="00A742B9"/>
    <w:rsid w:val="00A84689"/>
    <w:rsid w:val="00A94D83"/>
    <w:rsid w:val="00AB0719"/>
    <w:rsid w:val="00AB32AC"/>
    <w:rsid w:val="00AD0B50"/>
    <w:rsid w:val="00AE105F"/>
    <w:rsid w:val="00AE52F9"/>
    <w:rsid w:val="00AF0550"/>
    <w:rsid w:val="00AF0780"/>
    <w:rsid w:val="00AF42BE"/>
    <w:rsid w:val="00B07F59"/>
    <w:rsid w:val="00B45418"/>
    <w:rsid w:val="00B54BED"/>
    <w:rsid w:val="00B654EB"/>
    <w:rsid w:val="00B707F8"/>
    <w:rsid w:val="00B74AA5"/>
    <w:rsid w:val="00B76BAD"/>
    <w:rsid w:val="00B7725A"/>
    <w:rsid w:val="00B86F9C"/>
    <w:rsid w:val="00B91FFE"/>
    <w:rsid w:val="00BA189C"/>
    <w:rsid w:val="00BA1D82"/>
    <w:rsid w:val="00BA7B3E"/>
    <w:rsid w:val="00BB2A76"/>
    <w:rsid w:val="00BB7513"/>
    <w:rsid w:val="00BC16A2"/>
    <w:rsid w:val="00BC4EBF"/>
    <w:rsid w:val="00BD1299"/>
    <w:rsid w:val="00BE729F"/>
    <w:rsid w:val="00BF1410"/>
    <w:rsid w:val="00BF426D"/>
    <w:rsid w:val="00BF7054"/>
    <w:rsid w:val="00C062AA"/>
    <w:rsid w:val="00C16E1D"/>
    <w:rsid w:val="00C33BDF"/>
    <w:rsid w:val="00C35107"/>
    <w:rsid w:val="00C53EC6"/>
    <w:rsid w:val="00C568DB"/>
    <w:rsid w:val="00C66A44"/>
    <w:rsid w:val="00C74FF6"/>
    <w:rsid w:val="00C84120"/>
    <w:rsid w:val="00C91980"/>
    <w:rsid w:val="00C91FD1"/>
    <w:rsid w:val="00CA059B"/>
    <w:rsid w:val="00CA39F2"/>
    <w:rsid w:val="00CA6497"/>
    <w:rsid w:val="00CC06F1"/>
    <w:rsid w:val="00CD7771"/>
    <w:rsid w:val="00CD7EAF"/>
    <w:rsid w:val="00CE15CB"/>
    <w:rsid w:val="00CE6C3A"/>
    <w:rsid w:val="00CE750A"/>
    <w:rsid w:val="00CF475F"/>
    <w:rsid w:val="00D028D6"/>
    <w:rsid w:val="00D04609"/>
    <w:rsid w:val="00D13FC5"/>
    <w:rsid w:val="00D16214"/>
    <w:rsid w:val="00D170D5"/>
    <w:rsid w:val="00D6533C"/>
    <w:rsid w:val="00D66A01"/>
    <w:rsid w:val="00D73300"/>
    <w:rsid w:val="00D73AAC"/>
    <w:rsid w:val="00D779F2"/>
    <w:rsid w:val="00D850FD"/>
    <w:rsid w:val="00D86F38"/>
    <w:rsid w:val="00DA25A7"/>
    <w:rsid w:val="00DB723D"/>
    <w:rsid w:val="00DC1754"/>
    <w:rsid w:val="00DC624D"/>
    <w:rsid w:val="00DC7A44"/>
    <w:rsid w:val="00DE2CB9"/>
    <w:rsid w:val="00DE2DC7"/>
    <w:rsid w:val="00DE4281"/>
    <w:rsid w:val="00DE54CD"/>
    <w:rsid w:val="00DF083D"/>
    <w:rsid w:val="00DF66DB"/>
    <w:rsid w:val="00E05146"/>
    <w:rsid w:val="00E06EE2"/>
    <w:rsid w:val="00E106E7"/>
    <w:rsid w:val="00E13FA2"/>
    <w:rsid w:val="00E1423B"/>
    <w:rsid w:val="00E2144D"/>
    <w:rsid w:val="00E30C87"/>
    <w:rsid w:val="00E41ABF"/>
    <w:rsid w:val="00E47045"/>
    <w:rsid w:val="00E64E4A"/>
    <w:rsid w:val="00E652D2"/>
    <w:rsid w:val="00E6585C"/>
    <w:rsid w:val="00E706DB"/>
    <w:rsid w:val="00E95C12"/>
    <w:rsid w:val="00E97C4C"/>
    <w:rsid w:val="00EA5586"/>
    <w:rsid w:val="00EA7083"/>
    <w:rsid w:val="00EB3E11"/>
    <w:rsid w:val="00EC6850"/>
    <w:rsid w:val="00ED207E"/>
    <w:rsid w:val="00EE0E8A"/>
    <w:rsid w:val="00F11FFA"/>
    <w:rsid w:val="00F167E2"/>
    <w:rsid w:val="00F23552"/>
    <w:rsid w:val="00F23A97"/>
    <w:rsid w:val="00F32422"/>
    <w:rsid w:val="00F424CD"/>
    <w:rsid w:val="00F440AC"/>
    <w:rsid w:val="00F45607"/>
    <w:rsid w:val="00F51964"/>
    <w:rsid w:val="00F5206C"/>
    <w:rsid w:val="00F52206"/>
    <w:rsid w:val="00F54BB4"/>
    <w:rsid w:val="00F619D7"/>
    <w:rsid w:val="00F667A0"/>
    <w:rsid w:val="00F72F70"/>
    <w:rsid w:val="00F742FB"/>
    <w:rsid w:val="00F81F52"/>
    <w:rsid w:val="00F859BC"/>
    <w:rsid w:val="00F87CB5"/>
    <w:rsid w:val="00F916EC"/>
    <w:rsid w:val="00FA1F10"/>
    <w:rsid w:val="00FA4888"/>
    <w:rsid w:val="00FC51F6"/>
    <w:rsid w:val="00FC7837"/>
    <w:rsid w:val="00FD0089"/>
    <w:rsid w:val="00FD4617"/>
    <w:rsid w:val="00FD736F"/>
    <w:rsid w:val="00FE0D02"/>
    <w:rsid w:val="00FF48F6"/>
    <w:rsid w:val="02DC52DA"/>
    <w:rsid w:val="04B11836"/>
    <w:rsid w:val="0A9669B9"/>
    <w:rsid w:val="11CD340C"/>
    <w:rsid w:val="1CD33F04"/>
    <w:rsid w:val="216528AD"/>
    <w:rsid w:val="22135CBB"/>
    <w:rsid w:val="244B5E2D"/>
    <w:rsid w:val="24B04E2B"/>
    <w:rsid w:val="2B663DB5"/>
    <w:rsid w:val="309C1E01"/>
    <w:rsid w:val="333323F1"/>
    <w:rsid w:val="3CE04D0C"/>
    <w:rsid w:val="4EEA3CE9"/>
    <w:rsid w:val="5087673B"/>
    <w:rsid w:val="69FB10EF"/>
    <w:rsid w:val="6B3E0BCA"/>
    <w:rsid w:val="7DE76E80"/>
    <w:rsid w:val="7FC216B0"/>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47E7"/>
  <w15:docId w15:val="{0D544447-FF28-4C23-9130-FD02A861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ind w:firstLine="420"/>
      <w:jc w:val="center"/>
      <w:outlineLvl w:val="2"/>
    </w:pPr>
    <w:rPr>
      <w:b/>
      <w:sz w:val="34"/>
      <w:szCs w:val="34"/>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lang w:val="en-US" w:eastAsia="en-US"/>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qFormat/>
    <w:pPr>
      <w:spacing w:before="100" w:beforeAutospacing="1" w:after="100" w:afterAutospacing="1"/>
    </w:pPr>
    <w:rPr>
      <w:lang w:val="en-US" w:eastAsia="en-US"/>
    </w:rPr>
  </w:style>
  <w:style w:type="character" w:styleId="Strong">
    <w:name w:val="Strong"/>
    <w:basedOn w:val="DefaultParagraphFont"/>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paragraph" w:styleId="TOC1">
    <w:name w:val="toc 1"/>
    <w:basedOn w:val="Normal"/>
    <w:next w:val="Normal"/>
    <w:uiPriority w:val="39"/>
    <w:unhideWhenUsed/>
    <w:qFormat/>
    <w:pPr>
      <w:tabs>
        <w:tab w:val="right" w:leader="dot" w:pos="9629"/>
      </w:tabs>
      <w:spacing w:after="100" w:line="360" w:lineRule="auto"/>
    </w:pPr>
  </w:style>
  <w:style w:type="paragraph" w:styleId="TOC2">
    <w:name w:val="toc 2"/>
    <w:basedOn w:val="Normal"/>
    <w:next w:val="Normal"/>
    <w:uiPriority w:val="39"/>
    <w:unhideWhenUsed/>
    <w:qFormat/>
    <w:pPr>
      <w:tabs>
        <w:tab w:val="left" w:pos="0"/>
        <w:tab w:val="left" w:pos="142"/>
        <w:tab w:val="right" w:leader="dot" w:pos="9629"/>
      </w:tabs>
      <w:spacing w:after="100"/>
    </w:pPr>
  </w:style>
  <w:style w:type="paragraph" w:styleId="TOC3">
    <w:name w:val="toc 3"/>
    <w:basedOn w:val="Normal"/>
    <w:next w:val="Normal"/>
    <w:uiPriority w:val="39"/>
    <w:unhideWhenUsed/>
    <w:qFormat/>
    <w:pPr>
      <w:tabs>
        <w:tab w:val="right" w:leader="dot" w:pos="9629"/>
      </w:tabs>
      <w:spacing w:after="100"/>
    </w:pPr>
  </w:style>
  <w:style w:type="paragraph" w:styleId="TOC4">
    <w:name w:val="toc 4"/>
    <w:basedOn w:val="Normal"/>
    <w:next w:val="Normal"/>
    <w:uiPriority w:val="39"/>
    <w:unhideWhenUsed/>
    <w:qFormat/>
    <w:pPr>
      <w:tabs>
        <w:tab w:val="left" w:pos="0"/>
        <w:tab w:val="left" w:pos="142"/>
        <w:tab w:val="right" w:leader="dot" w:pos="9629"/>
      </w:tabs>
      <w:spacing w:after="100"/>
      <w:ind w:left="2127"/>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l1">
    <w:name w:val="al1"/>
    <w:basedOn w:val="DefaultParagraphFont"/>
    <w:qFormat/>
    <w:rPr>
      <w:b/>
      <w:bCs/>
      <w:color w:val="008F00"/>
    </w:rPr>
  </w:style>
  <w:style w:type="character" w:customStyle="1" w:styleId="tal1">
    <w:name w:val="tal1"/>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lang w:val="en-US" w:eastAsia="en-US"/>
    </w:rPr>
  </w:style>
  <w:style w:type="paragraph" w:customStyle="1" w:styleId="CapRegulament">
    <w:name w:val="CapRegulament"/>
    <w:link w:val="CapRegulamentChar"/>
    <w:qFormat/>
    <w:pPr>
      <w:spacing w:before="480" w:after="240" w:line="360" w:lineRule="auto"/>
      <w:ind w:left="1843" w:hanging="1843"/>
    </w:pPr>
    <w:rPr>
      <w:rFonts w:ascii="Times New Roman Bold" w:hAnsi="Times New Roman Bold"/>
      <w:b/>
      <w:sz w:val="24"/>
      <w:szCs w:val="24"/>
    </w:rPr>
  </w:style>
  <w:style w:type="paragraph" w:customStyle="1" w:styleId="TOCHeading1">
    <w:name w:val="TOC Heading1"/>
    <w:basedOn w:val="Heading1"/>
    <w:next w:val="Normal"/>
    <w:uiPriority w:val="39"/>
    <w:unhideWhenUsed/>
    <w:qFormat/>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CapRegulamentChar">
    <w:name w:val="CapRegulament Char"/>
    <w:basedOn w:val="DefaultParagraphFont"/>
    <w:link w:val="CapRegulament"/>
    <w:qFormat/>
    <w:rPr>
      <w:rFonts w:ascii="Times New Roman Bold" w:hAnsi="Times New Roman Bold"/>
      <w:b/>
    </w:rPr>
  </w:style>
  <w:style w:type="character" w:customStyle="1" w:styleId="Bodytext2">
    <w:name w:val="Body text (2)_"/>
    <w:basedOn w:val="DefaultParagraphFont"/>
    <w:link w:val="Bodytext20"/>
    <w:qFormat/>
    <w:rPr>
      <w:b/>
      <w:bCs/>
      <w:sz w:val="22"/>
      <w:szCs w:val="22"/>
      <w:shd w:val="clear" w:color="auto" w:fill="FFFFFF"/>
    </w:rPr>
  </w:style>
  <w:style w:type="paragraph" w:customStyle="1" w:styleId="Bodytext20">
    <w:name w:val="Body text (2)"/>
    <w:basedOn w:val="Normal"/>
    <w:link w:val="Bodytext2"/>
    <w:qFormat/>
    <w:pPr>
      <w:widowControl w:val="0"/>
      <w:shd w:val="clear" w:color="auto" w:fill="FFFFFF"/>
      <w:spacing w:line="302" w:lineRule="exact"/>
    </w:pPr>
    <w:rPr>
      <w:b/>
      <w:bCs/>
      <w:sz w:val="22"/>
      <w:szCs w:val="22"/>
    </w:rPr>
  </w:style>
  <w:style w:type="character" w:customStyle="1" w:styleId="Bodytext">
    <w:name w:val="Body text_"/>
    <w:basedOn w:val="DefaultParagraphFont"/>
    <w:link w:val="BodyText1"/>
    <w:qFormat/>
    <w:rPr>
      <w:sz w:val="21"/>
      <w:szCs w:val="21"/>
      <w:shd w:val="clear" w:color="auto" w:fill="FFFFFF"/>
    </w:rPr>
  </w:style>
  <w:style w:type="paragraph" w:customStyle="1" w:styleId="BodyText1">
    <w:name w:val="Body Text1"/>
    <w:basedOn w:val="Normal"/>
    <w:link w:val="Bodytext"/>
    <w:qFormat/>
    <w:pPr>
      <w:widowControl w:val="0"/>
      <w:shd w:val="clear" w:color="auto" w:fill="FFFFFF"/>
      <w:spacing w:after="240" w:line="302" w:lineRule="exact"/>
      <w:jc w:val="both"/>
    </w:pPr>
    <w:rPr>
      <w:sz w:val="21"/>
      <w:szCs w:val="21"/>
    </w:rPr>
  </w:style>
  <w:style w:type="paragraph" w:styleId="ListParagraph">
    <w:name w:val="List Paragraph"/>
    <w:basedOn w:val="Normal"/>
    <w:uiPriority w:val="34"/>
    <w:qFormat/>
    <w:pPr>
      <w:ind w:left="720"/>
      <w:contextualSpacing/>
    </w:pPr>
  </w:style>
  <w:style w:type="paragraph" w:customStyle="1" w:styleId="Sub1CapRegulament">
    <w:name w:val="Sub1CapRegulament"/>
    <w:basedOn w:val="CapRegulament"/>
    <w:qFormat/>
    <w:pPr>
      <w:spacing w:before="240" w:after="120"/>
      <w:ind w:left="0" w:firstLine="0"/>
    </w:pPr>
  </w:style>
  <w:style w:type="paragraph" w:customStyle="1" w:styleId="Sub2CapRegulament">
    <w:name w:val="Sub2CapRegulament"/>
    <w:basedOn w:val="Sub1CapRegulament"/>
    <w:qFormat/>
    <w:pPr>
      <w:tabs>
        <w:tab w:val="left" w:pos="1701"/>
      </w:tabs>
    </w:pPr>
  </w:style>
  <w:style w:type="paragraph" w:customStyle="1" w:styleId="Sub3CapReg">
    <w:name w:val="Sub3CapReg"/>
    <w:basedOn w:val="Normal"/>
    <w:qFormat/>
    <w:pPr>
      <w:spacing w:before="240" w:line="360" w:lineRule="auto"/>
    </w:pPr>
  </w:style>
  <w:style w:type="character" w:customStyle="1" w:styleId="sttalineat">
    <w:name w:val="st_talineat"/>
    <w:basedOn w:val="DefaultParagraphFont"/>
    <w:qFormat/>
  </w:style>
  <w:style w:type="paragraph" w:customStyle="1" w:styleId="TextArticol">
    <w:name w:val="Text_Articol"/>
    <w:basedOn w:val="Normal"/>
    <w:qFormat/>
    <w:pPr>
      <w:numPr>
        <w:numId w:val="1"/>
      </w:numPr>
      <w:spacing w:before="240"/>
      <w:jc w:val="both"/>
    </w:pPr>
    <w:rPr>
      <w:lang w:eastAsia="en-US"/>
    </w:rPr>
  </w:style>
  <w:style w:type="character" w:customStyle="1" w:styleId="TextAlineatChar">
    <w:name w:val="Text_Alineat Char"/>
    <w:link w:val="TextAlineat"/>
    <w:qFormat/>
    <w:locked/>
  </w:style>
  <w:style w:type="paragraph" w:customStyle="1" w:styleId="TextAlineat">
    <w:name w:val="Text_Alineat"/>
    <w:basedOn w:val="Normal"/>
    <w:link w:val="TextAlineatChar"/>
    <w:qFormat/>
    <w:pPr>
      <w:numPr>
        <w:ilvl w:val="1"/>
        <w:numId w:val="1"/>
      </w:numPr>
      <w:jc w:val="both"/>
    </w:pPr>
  </w:style>
  <w:style w:type="paragraph" w:customStyle="1" w:styleId="TextSubpunct">
    <w:name w:val="Text_Subpunct"/>
    <w:basedOn w:val="Normal"/>
    <w:pPr>
      <w:numPr>
        <w:ilvl w:val="2"/>
        <w:numId w:val="1"/>
      </w:numPr>
      <w:ind w:left="397" w:hanging="227"/>
      <w:jc w:val="both"/>
    </w:pPr>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paragraph" w:customStyle="1" w:styleId="Normal1">
    <w:name w:val="Normal1"/>
    <w:qFormat/>
    <w:rPr>
      <w:sz w:val="24"/>
      <w:szCs w:val="24"/>
    </w:rPr>
  </w:style>
  <w:style w:type="paragraph" w:customStyle="1" w:styleId="Style1">
    <w:name w:val="Style1"/>
    <w:basedOn w:val="CapRegulament"/>
    <w:link w:val="Style1Char"/>
    <w:qFormat/>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244061" w:themeColor="accent1" w:themeShade="80"/>
    </w:rPr>
  </w:style>
  <w:style w:type="character" w:customStyle="1" w:styleId="Style1Char">
    <w:name w:val="Style1 Char"/>
    <w:basedOn w:val="CapRegulamentChar"/>
    <w:link w:val="Style1"/>
    <w:qFormat/>
    <w:rPr>
      <w:rFonts w:ascii="Times New Roman Bold" w:hAnsi="Times New Roman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nred.edu.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87439856-1E70-4978-B0D2-41F8D16D4571"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FDFF2669CCCB2E4E81A3502695F22A12" ma:contentTypeVersion="1" ma:contentTypeDescription="Upload an image." ma:contentTypeScope="" ma:versionID="67e8f6e3029fa655579be968d25b1901">
  <xsd:schema xmlns:xsd="http://www.w3.org/2001/XMLSchema" xmlns:xs="http://www.w3.org/2001/XMLSchema" xmlns:p="http://schemas.microsoft.com/office/2006/metadata/properties" xmlns:ns1="http://schemas.microsoft.com/sharepoint/v3" xmlns:ns2="87439856-1E70-4978-B0D2-41F8D16D4571" xmlns:ns3="http://schemas.microsoft.com/sharepoint/v3/fields" targetNamespace="http://schemas.microsoft.com/office/2006/metadata/properties" ma:root="true" ma:fieldsID="bbbeb4ec0d37ac15e2cdf88ce6d6b550" ns1:_="" ns2:_="" ns3:_="">
    <xsd:import namespace="http://schemas.microsoft.com/sharepoint/v3"/>
    <xsd:import namespace="87439856-1E70-4978-B0D2-41F8D16D457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39856-1E70-4978-B0D2-41F8D16D457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A6906-916F-4898-B686-6BA98AF6F422}">
  <ds:schemaRefs>
    <ds:schemaRef ds:uri="http://schemas.microsoft.com/office/infopath/2007/PartnerControls"/>
    <ds:schemaRef ds:uri="http://purl.org/dc/terms/"/>
    <ds:schemaRef ds:uri="http://www.w3.org/XML/1998/namespace"/>
    <ds:schemaRef ds:uri="http://schemas.microsoft.com/office/2006/documentManagement/types"/>
    <ds:schemaRef ds:uri="http://schemas.microsoft.com/sharepoint/v3/fields"/>
    <ds:schemaRef ds:uri="http://schemas.microsoft.com/office/2006/metadata/properties"/>
    <ds:schemaRef ds:uri="87439856-1E70-4978-B0D2-41F8D16D4571"/>
    <ds:schemaRef ds:uri="http://purl.org/dc/dcmitype/"/>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91098EC1-5899-481E-A61C-9C5F8F25269C}">
  <ds:schemaRefs>
    <ds:schemaRef ds:uri="http://schemas.microsoft.com/sharepoint/v3/contenttype/forms"/>
  </ds:schemaRefs>
</ds:datastoreItem>
</file>

<file path=customXml/itemProps3.xml><?xml version="1.0" encoding="utf-8"?>
<ds:datastoreItem xmlns:ds="http://schemas.openxmlformats.org/officeDocument/2006/customXml" ds:itemID="{2786DE35-CD46-4185-8E48-CF572741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439856-1E70-4978-B0D2-41F8D16D457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49FF1-EF61-419D-B0E1-102649CC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5097</Words>
  <Characters>29056</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Regulament privind organizarea si desfasurarea admiterii in ciclul de studii de doctorat 2024-2025</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privind organizarea si desfasurarea admiterii in ciclul de studii de doctorat 2024-2025</dc:title>
  <dc:creator>User</dc:creator>
  <cp:keywords/>
  <dc:description/>
  <cp:lastModifiedBy>alina.cosuleanu@feaa.uaic.ro</cp:lastModifiedBy>
  <cp:revision>2</cp:revision>
  <cp:lastPrinted>2024-01-12T10:18:00Z</cp:lastPrinted>
  <dcterms:created xsi:type="dcterms:W3CDTF">2024-02-09T06:25:00Z</dcterms:created>
  <dcterms:modified xsi:type="dcterms:W3CDTF">2024-02-09T06:25:00Z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0CF8572DAB344E79B7CCF69B30E75C85</vt:lpwstr>
  </property>
  <property fmtid="{D5CDD505-2E9C-101B-9397-08002B2CF9AE}" pid="4" name="ContentTypeId">
    <vt:lpwstr>0x0101009148F5A04DDD49CBA7127AADA5FB792B00AADE34325A8B49CDA8BB4DB53328F21400FDFF2669CCCB2E4E81A3502695F22A12</vt:lpwstr>
  </property>
</Properties>
</file>