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3571875</wp:posOffset>
            </wp:positionH>
            <wp:positionV relativeFrom="paragraph">
              <wp:posOffset>395574</wp:posOffset>
            </wp:positionV>
            <wp:extent cx="2667000" cy="267552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75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Elena CIGU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elena.chelaru@uaic.ro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/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elenacigu@yahoo.com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0232.201.569/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0745666028</w:t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C-806b</w:t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Autonomia financiară locală și dezvoltarea durabilă: O analiză comparativă a modelelor de descentralizare în Europa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Impactul descentralizării fiscale asupra eficienței financiare a autorităților locale: Studiu de caz în (Țară/Regiune, etc)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Tendințe ale organizării sistemelor administrative şi financiare publice locale - implicaţii pentru dezvoltarea sustenabilă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Rolul finanțelor publice locale în promovarea autonomiei locale: Provocări și oportunități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Descentralizarea fiscală și inegalitățile regionale în (Țară/Regiune, etc)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Sisteme de evaluare a performanței financiare la nivel local: Criterii și indicatori pentru o gestionare eficientă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Strategii de optimizare a finanțelor publice locale în contextul descentralizării fiscale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Finanțele publice locale în era digitalizării: Avantaje și riscuri ale inovării fiscale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Descentralizarea fiscală și responsabilitatea fiscală la nivel local: O analiză teoretică și practică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Modelul fiscal al guvernanței locale în contextul reformelor administrative: Experiențe internaționale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3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cigu@yahoo.com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elena.chelaru@uaic.ro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elena-cigu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1749920-C4A0-4A70-BF44-9F9329702749}"/>
</file>

<file path=customXml/itemProps2.xml><?xml version="1.0" encoding="utf-8"?>
<ds:datastoreItem xmlns:ds="http://schemas.openxmlformats.org/officeDocument/2006/customXml" ds:itemID="{BE251846-7A4F-42A7-B3D0-280BFBBA6818}"/>
</file>

<file path=customXml/itemProps3.xml><?xml version="1.0" encoding="utf-8"?>
<ds:datastoreItem xmlns:ds="http://schemas.openxmlformats.org/officeDocument/2006/customXml" ds:itemID="{14B8A84D-528D-408D-AC29-E76BD7E4982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