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Laura Diana Radu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glaura@uaic.ro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0232.201.413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B-327a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Managementul proiectelor în contextul transformării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Transformarea digitală în orașele inteligente: tehnologii emergente și strategii sustenabile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Transferul de cunoștințe în dezvoltarea proiectelor dezvoltate cu metodologii Agile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Scalarea modelelor Agile – dificultăți și oportunități pentru echipe și companii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Tehnologiile emergente în automatizarea proceselor de afaceri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platformelor digitale în adoptarea și dezvoltarea sustenabilă a 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Green ICT: strategii și tehnologii sustenabile pentru transformarea digitală în organizații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laura-diana-rad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DfmWzJEjS0nqCntWb8sp8tvjw==">CgMxLjA4AHIhMXB1T0dUbVRCVVdnOGh6cUJUOVlLaElfNzB1eWVaSlNH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0777993-ECC4-426F-81A3-770CCABE6AC8}"/>
</file>

<file path=customXML/itemProps3.xml><?xml version="1.0" encoding="utf-8"?>
<ds:datastoreItem xmlns:ds="http://schemas.openxmlformats.org/officeDocument/2006/customXml" ds:itemID="{76F8C9E1-3C39-461D-8EE5-DC70B8F79B8C}"/>
</file>

<file path=customXML/itemProps4.xml><?xml version="1.0" encoding="utf-8"?>
<ds:datastoreItem xmlns:ds="http://schemas.openxmlformats.org/officeDocument/2006/customXml" ds:itemID="{3F0F95C4-5E07-4C5B-903F-539B21100E0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