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55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5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Florin DUMITRIU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fdumi@uaic.ro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0232.201.585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B-309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Probleme și soluții în dezvoltarea globală a software-ului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Utilizarea tehnologiilor Semantic Web în managementul proceselor de afaceri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ontologiilor în dezvoltarea de software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5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www.feaa.uaic.ro/faculty/florin-dumitri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Y2u+TyKakRoHKqsrgzS5jPBHlw==">CgMxLjA4AHIhMUh1SmlKaERUZ0F3VDk4ZXdoUHhuZGVDZWdtUEZFdFhw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0E62FBA-FA6B-4008-B289-DFE55AA3D9FB}"/>
</file>

<file path=customXML/itemProps3.xml><?xml version="1.0" encoding="utf-8"?>
<ds:datastoreItem xmlns:ds="http://schemas.openxmlformats.org/officeDocument/2006/customXml" ds:itemID="{D801AD40-4FBF-4E7C-9021-A0E0F5D67948}"/>
</file>

<file path=customXML/itemProps4.xml><?xml version="1.0" encoding="utf-8"?>
<ds:datastoreItem xmlns:ds="http://schemas.openxmlformats.org/officeDocument/2006/customXml" ds:itemID="{8268E0A3-6741-4A35-9B26-D1628D42426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