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6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3733800</wp:posOffset>
            </wp:positionH>
            <wp:positionV relativeFrom="paragraph">
              <wp:posOffset>390525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119820445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Gabriela Carmen PASCARIU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gcpas@uaic.ro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0232.201.402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B-319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Geopolitică și mediile de afaceri. Uniunea Europeană ca actor global și regional (cuvinte cheie: cooperare transfrontaliera; Politica Europeană de Vecinătate și țările de vecinătate; guvernanța europeană; relațiile UE-Rusia; europenizare)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gabriela-carmen-pascari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LiI/S0cOuVYIS79WVpQmCekMw==">CgMxLjA4AHIhMVQ4RnRWVmxHbzJ3VUQzZmFkdy1ZNHdJdExsS1YtczhF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7D71762-A271-49A0-AB55-C5F634A4FC8E}"/>
</file>

<file path=customXML/itemProps3.xml><?xml version="1.0" encoding="utf-8"?>
<ds:datastoreItem xmlns:ds="http://schemas.openxmlformats.org/officeDocument/2006/customXml" ds:itemID="{5DFF3B74-CCE2-4422-ADED-53791FA76283}"/>
</file>

<file path=customXML/itemProps4.xml><?xml version="1.0" encoding="utf-8"?>
<ds:datastoreItem xmlns:ds="http://schemas.openxmlformats.org/officeDocument/2006/customXml" ds:itemID="{E9A6EA90-09B5-4A1F-98BF-120079C18DF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