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3708400</wp:posOffset>
            </wp:positionH>
            <wp:positionV relativeFrom="paragraph">
              <wp:posOffset>371475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334" r="33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 Ionela-Corina CHERSAN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macov@uaic.ro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, </w:t>
      </w:r>
    </w:p>
    <w:p w:rsidR="00000000" w:rsidDel="00000000" w:rsidP="00000000" w:rsidRDefault="00000000" w:rsidRPr="00000000" w14:paraId="00000006">
      <w:pPr>
        <w:spacing w:after="160" w:line="278.00000000000006" w:lineRule="auto"/>
        <w:ind w:firstLine="72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corina.chersan.macovei@gmail.com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0232.201.388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etaj 3, B610</w:t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Răspunderea profesională și legală a auditorului în problemele etice asociate cu auditul.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Noile forme de raportare nefinanciară - premise sau consecințe ale dezvoltării sustenabile?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Dubla materialitate: reglementări actuale, implicații și perspective.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Efectul inteligenței artificiale asupra auditului.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Dileme și provocări în asigurarea rapoartelor nefinanciare.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Auditul intern în spitale: provocări și bune practici.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Calitate și eficiență în auditul sectorului public.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Rolul auditului public extern în realizarea obiectivelor dezvoltării durabile.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a.chersan.macovei@gmail.com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macov@uaic.ro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ionela-corina-chersan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A4138A3-D589-4711-A7FF-D1D6E03EF2FB}"/>
</file>

<file path=customXml/itemProps2.xml><?xml version="1.0" encoding="utf-8"?>
<ds:datastoreItem xmlns:ds="http://schemas.openxmlformats.org/officeDocument/2006/customXml" ds:itemID="{E1FB0037-1DB7-4459-8006-17A9367BC462}"/>
</file>

<file path=customXml/itemProps3.xml><?xml version="1.0" encoding="utf-8"?>
<ds:datastoreItem xmlns:ds="http://schemas.openxmlformats.org/officeDocument/2006/customXml" ds:itemID="{CD9398B9-2181-468F-8E9A-53556BA0E3F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