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0B" w:rsidRDefault="00966EA3">
      <w:pPr>
        <w:pStyle w:val="Default"/>
        <w:spacing w:before="0" w:after="322" w:line="240" w:lineRule="auto"/>
        <w:jc w:val="both"/>
        <w:rPr>
          <w:rFonts w:ascii="Times Roman" w:eastAsia="Times Roman" w:hAnsi="Times Roman" w:cs="Times Roman"/>
          <w:b/>
          <w:bCs/>
          <w:sz w:val="48"/>
          <w:szCs w:val="48"/>
        </w:rPr>
      </w:pPr>
      <w:bookmarkStart w:id="0" w:name="_GoBack"/>
      <w:bookmarkEnd w:id="0"/>
      <w:r>
        <w:rPr>
          <w:rFonts w:ascii="Times Roman" w:hAnsi="Times Roman"/>
          <w:b/>
          <w:bCs/>
          <w:sz w:val="48"/>
          <w:szCs w:val="48"/>
        </w:rPr>
        <w:t>Annex R2</w:t>
      </w:r>
    </w:p>
    <w:p w:rsidR="0064570B" w:rsidRDefault="00966EA3">
      <w:pPr>
        <w:pStyle w:val="Default"/>
        <w:spacing w:before="0" w:after="299" w:line="240" w:lineRule="auto"/>
        <w:jc w:val="both"/>
        <w:rPr>
          <w:rFonts w:ascii="Times Roman" w:eastAsia="Times Roman" w:hAnsi="Times Roman" w:cs="Times Roman"/>
          <w:b/>
          <w:bCs/>
          <w:sz w:val="36"/>
          <w:szCs w:val="36"/>
          <w:lang w:val="en-US"/>
        </w:rPr>
      </w:pPr>
      <w:r>
        <w:rPr>
          <w:rFonts w:ascii="Times Roman" w:hAnsi="Times Roman"/>
          <w:b/>
          <w:bCs/>
          <w:sz w:val="36"/>
          <w:szCs w:val="36"/>
          <w:lang w:val="en-US"/>
        </w:rPr>
        <w:t>A. Doctoral Studies Credits - Arguments: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For the third cycle of studies, Bologna model, there is no minimum number or recommended interval of transferable credits, as exists at bachelor's level (180-240 ECTS) or master's level (90-120 ECTS)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There is a convention that allocates 60 credits to one year of studies, regardless of level (including for postgraduate continuing education studies)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Some Western universities typically quantify requirements from doctoral programs in the form of mandatory courses, research seminars, and publications, rarely providing an equivalent in transferable credits; the quality of the doctoral program is assessed mainly based on the thesis and publications produced by the doctoral student</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When mention of transferable credits for doctoral programs is made, the number of credits for a doctoral program varies between 180 and 270 credits, of which the actual courses have between 60 and 90 credits, and the thesis between 120 and 180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 xml:space="preserve">Doctoral programs are intended to develop level 8 competencies from the European (EQF) and National (CNC) qualification frameworks: cognitive professional competencies (advanced systematic knowledge of concepts, research methods, controversies, etc., use of advanced principles and methods of knowledge, transfer of methods, interdisciplinary approaches, etc.), functional professional competencies (critical-constructive evaluation, conception and implementation of original research, etc.), transversal role competencies (assumption of responsibility and capacity to organize and lead professional and research groups, etc.), and professional development transversal competencies (development of creativity </w:t>
      </w:r>
      <w:r>
        <w:rPr>
          <w:rFonts w:ascii="Times Roman" w:hAnsi="Times Roman"/>
        </w:rPr>
        <w:t>-</w:t>
      </w:r>
      <w:r>
        <w:rPr>
          <w:rFonts w:ascii="Times Roman" w:hAnsi="Times Roman"/>
          <w:lang w:val="en-US"/>
        </w:rPr>
        <w:t xml:space="preserve"> centered projects)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Activities and results of doctoral students that prove the acquisition of such competencies will be recognized through credits, at each stage of their development (years I, II, III, and IV of doctorate)</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Credits for completing study disciplines are allocated, according to current legislation (Higher Education Law No. 199 of 2023), only in the first semester of the first year of studies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in training courses in another semester could receive credits similar to training activities from summer schools, workshops, etc.</w:t>
      </w:r>
    </w:p>
    <w:p w:rsidR="0064570B" w:rsidRDefault="0064570B">
      <w:pPr>
        <w:pStyle w:val="Default"/>
        <w:spacing w:before="0" w:line="240" w:lineRule="auto"/>
        <w:jc w:val="both"/>
        <w:rPr>
          <w:rFonts w:ascii="Times Roman" w:eastAsia="Times Roman" w:hAnsi="Times Roman" w:cs="Times Roman"/>
          <w:lang w:val="en-US"/>
        </w:rPr>
      </w:pPr>
    </w:p>
    <w:p w:rsidR="0064570B" w:rsidRDefault="00966EA3">
      <w:pPr>
        <w:pStyle w:val="Default"/>
        <w:spacing w:before="0" w:after="299" w:line="240" w:lineRule="auto"/>
        <w:jc w:val="both"/>
        <w:rPr>
          <w:rFonts w:ascii="Times Roman" w:eastAsia="Times Roman" w:hAnsi="Times Roman" w:cs="Times Roman"/>
          <w:b/>
          <w:bCs/>
          <w:sz w:val="36"/>
          <w:szCs w:val="36"/>
          <w:lang w:val="en-US"/>
        </w:rPr>
      </w:pPr>
      <w:r>
        <w:rPr>
          <w:rFonts w:ascii="Times Roman" w:hAnsi="Times Roman"/>
          <w:b/>
          <w:bCs/>
          <w:sz w:val="36"/>
          <w:szCs w:val="36"/>
          <w:lang w:val="en-US"/>
        </w:rPr>
        <w:t>B. Evaluation of Activities Through Credits</w:t>
      </w:r>
    </w:p>
    <w:p w:rsidR="0064570B" w:rsidRDefault="00966EA3">
      <w:pPr>
        <w:pStyle w:val="Default"/>
        <w:spacing w:before="0" w:after="281" w:line="240" w:lineRule="auto"/>
        <w:jc w:val="both"/>
        <w:rPr>
          <w:rFonts w:ascii="Times Roman" w:eastAsia="Times Roman" w:hAnsi="Times Roman" w:cs="Times Roman"/>
          <w:b/>
          <w:bCs/>
          <w:sz w:val="28"/>
          <w:szCs w:val="28"/>
          <w:lang w:val="en-US"/>
        </w:rPr>
      </w:pPr>
      <w:r>
        <w:rPr>
          <w:rFonts w:ascii="Times Roman" w:hAnsi="Times Roman"/>
          <w:b/>
          <w:bCs/>
          <w:sz w:val="28"/>
          <w:szCs w:val="28"/>
          <w:lang w:val="en-US"/>
        </w:rPr>
        <w:t>I. Didactic and Advanced University Training Activities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Training courses for doctoral research (PPUA) = at least 30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Didactic seminars = 10 credits for 5 hours (maximum)</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lastRenderedPageBreak/>
        <w:t>Participation (without paper) in scientific seminars of the Doctoral School (on chosen track and specialization) = 1 credit/1 participation</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Presenting a communication within the scientific seminar of the Doctoral School = 5 credits (one mandatory presentation in the first 3 years; the presentation will be based on an extended written material that will remain in the doctoral student's internal file)</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Presenting a communication based on one of the progress reports at a scientific seminar of the profile department = 5 credits (one mandatory presentation during the 4 years)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Conducting 10 hours of specific activities per semester, according to the needs of the Doctoral School or Faculty (project writing, participation in scientific journal activities, creating databases necessary for School evaluation, doctoral school conference, etc.) = 5 credits; certification of this "internship" will come from the activity coordinator, as appropriate (DS director, journal editor-in-chief, research center coordinator, database organizer, etc.)</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(without paper) in scientific seminars of Profile Departments and profile scientific events organized by FEAA or other faculties from UAIC (for interdisciplinary topics) = 1 credit/1 participation (maximum 5 credits from such activities)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in public defense sessions of doctoral theses in the specialization field (strongly recommended) = 1 credit/1 participation (maximum 5 credits from such activities)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Research project obtained through competition (as project director) = 20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in a research team for a project obtained through competition = 10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in an organization team of a conference/scientific event = 3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in summer school, training workshop, etc. (completed with diploma, certificate, or other official form of recognition) = 5 credits</w:t>
      </w:r>
    </w:p>
    <w:p w:rsidR="0064570B" w:rsidRDefault="0064570B">
      <w:pPr>
        <w:pStyle w:val="Default"/>
        <w:spacing w:before="0" w:line="240" w:lineRule="auto"/>
        <w:jc w:val="both"/>
        <w:rPr>
          <w:rFonts w:ascii="Times Roman" w:eastAsia="Times Roman" w:hAnsi="Times Roman" w:cs="Times Roman"/>
        </w:rPr>
      </w:pPr>
    </w:p>
    <w:p w:rsidR="0064570B" w:rsidRDefault="00966EA3">
      <w:pPr>
        <w:pStyle w:val="Default"/>
        <w:spacing w:before="0" w:after="281" w:line="240" w:lineRule="auto"/>
        <w:jc w:val="both"/>
        <w:rPr>
          <w:rFonts w:ascii="Times Roman" w:eastAsia="Times Roman" w:hAnsi="Times Roman" w:cs="Times Roman"/>
          <w:b/>
          <w:bCs/>
          <w:sz w:val="28"/>
          <w:szCs w:val="28"/>
          <w:lang w:val="en-US"/>
        </w:rPr>
      </w:pPr>
      <w:r>
        <w:rPr>
          <w:rFonts w:ascii="Times Roman" w:hAnsi="Times Roman"/>
          <w:b/>
          <w:bCs/>
          <w:sz w:val="28"/>
          <w:szCs w:val="28"/>
          <w:lang w:val="en-US"/>
        </w:rPr>
        <w:t>II. Specific Activities of the Doctoral Program Mandatory by Regulation/Law (research reports)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Initial research report, defended in the guidance committee in year I = 20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Research report for progress verification defended in the guidance committee/intermediate report I = 20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Research report for progress verification defended in the guidance committee = 20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Preliminary defense of thesis in the guidance committee (final research report) = 25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Public defense of thesis = 30 credits</w:t>
      </w:r>
    </w:p>
    <w:p w:rsidR="0064570B" w:rsidRDefault="0064570B">
      <w:pPr>
        <w:pStyle w:val="Default"/>
        <w:spacing w:before="0" w:line="240" w:lineRule="auto"/>
        <w:jc w:val="both"/>
        <w:rPr>
          <w:rFonts w:ascii="Times Roman" w:eastAsia="Times Roman" w:hAnsi="Times Roman" w:cs="Times Roman"/>
        </w:rPr>
      </w:pPr>
    </w:p>
    <w:p w:rsidR="0064570B" w:rsidRDefault="00966EA3">
      <w:pPr>
        <w:pStyle w:val="Default"/>
        <w:spacing w:before="0" w:after="281" w:line="240" w:lineRule="auto"/>
        <w:jc w:val="both"/>
        <w:rPr>
          <w:rFonts w:ascii="Times Roman" w:eastAsia="Times Roman" w:hAnsi="Times Roman" w:cs="Times Roman"/>
          <w:b/>
          <w:bCs/>
          <w:sz w:val="28"/>
          <w:szCs w:val="28"/>
          <w:lang w:val="en-US"/>
        </w:rPr>
      </w:pPr>
      <w:r>
        <w:rPr>
          <w:rFonts w:ascii="Times Roman" w:hAnsi="Times Roman"/>
          <w:b/>
          <w:bCs/>
          <w:sz w:val="28"/>
          <w:szCs w:val="28"/>
          <w:lang w:val="en-US"/>
        </w:rPr>
        <w:t>III. Research Results Dissemination Activities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Creating own presentation page on the Doctoral School website = 2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Annual update of own presentation page on the Doctoral School website = 1 credit</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Creating and posting Working Paper materials on the Doctoral School page (can be part of the future end-of-year project, a literature review study, etc.) = 2 credits for each material</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lastRenderedPageBreak/>
        <w:t>Editorial board member of a BDI-indexed scientific journal = 6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Editorial board member of an unrated scientific journal = 3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with paper published in volume at an international conference abroad = 10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with paper published in volume at an international conference in the country = 7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Participation with paper published in volume at a national conference (including Republic of Moldova) = 4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Communication presented at the Annual Conference of the FEAA Doctoral School (separately or within GEBA) = 10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Clarivate WOS journal article (SSCI + SCIE) with non-zero impact factor and influence score (AIS) greater than 0.25 = 35 credits if sole author or co-author with supervising professor; 20 credits if there are other co-authors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Clarivate WOS journal article (SSCI + SCIE) with non-zero impact factor and positive influence score (AIS) = 20 credits if sole author or co-author with supervising professor; 15 credits if there are other co-authors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ISI WOS ESCI journal article = 15 credits if sole author or co-author with supervising professor; 9 credits if there are other co-authors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Article in ISI WOS Proceedings volume already indexed in databases recognized by CNCSIS = 10 credits if sole author or co-author with supervising professor; 5 credits if there are other co-authors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Article in journal indexed in 3 BDI recognized by CNCSIS = 8 credits if sole author or co-author with supervising professor; 4 credits if there are other co-authors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Article published in REBS = 10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Article published in SAEB (ESCI) = 20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Article in foreign journals with ISSN, not BDI indexed = 5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Article in domestic journals with ISSN, not indexed = 3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Book (min 150 pages) published abroad at publishers from the list recognized by CNCSIS, in the doctoral field = 40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Book (min 150 pages) published at recognized publisher in the country, at CNCSIS recognized publishers = 20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Book (min 150 pages) published at unrated publisher in the country, including Republic of Moldova (with ISBN) = 15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Book chapter (min 20 pages) in book published abroad, at recognized publishers = 10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Book chapter (min 20 pages) in book published at recognized publisher in the country = 15 credits</w:t>
      </w:r>
    </w:p>
    <w:p w:rsidR="0064570B" w:rsidRDefault="00966EA3">
      <w:pPr>
        <w:pStyle w:val="Default"/>
        <w:numPr>
          <w:ilvl w:val="0"/>
          <w:numId w:val="2"/>
        </w:numPr>
        <w:spacing w:before="0" w:line="240" w:lineRule="auto"/>
        <w:jc w:val="both"/>
        <w:rPr>
          <w:rFonts w:ascii="Times Roman" w:hAnsi="Times Roman"/>
          <w:lang w:val="en-US"/>
        </w:rPr>
      </w:pPr>
      <w:r>
        <w:rPr>
          <w:rFonts w:ascii="Times Roman" w:hAnsi="Times Roman"/>
          <w:lang w:val="en-US"/>
        </w:rPr>
        <w:t>Book chapter (min 20 pages) at unrated publisher = 5 credits</w:t>
      </w:r>
    </w:p>
    <w:p w:rsidR="0064570B" w:rsidRDefault="0064570B">
      <w:pPr>
        <w:pStyle w:val="Default"/>
        <w:spacing w:before="0" w:line="240" w:lineRule="auto"/>
        <w:jc w:val="both"/>
        <w:rPr>
          <w:rFonts w:ascii="Times Roman" w:eastAsia="Times Roman" w:hAnsi="Times Roman" w:cs="Times Roman"/>
        </w:rPr>
      </w:pPr>
    </w:p>
    <w:p w:rsidR="0064570B" w:rsidRDefault="00966EA3">
      <w:pPr>
        <w:pStyle w:val="Default"/>
        <w:spacing w:before="0" w:after="240" w:line="240" w:lineRule="auto"/>
        <w:jc w:val="both"/>
      </w:pPr>
      <w:r>
        <w:rPr>
          <w:rFonts w:ascii="Times Roman" w:hAnsi="Times Roman"/>
          <w:b/>
          <w:bCs/>
          <w:lang w:val="de-DE"/>
        </w:rPr>
        <w:t>Notes:</w:t>
      </w:r>
      <w:r>
        <w:rPr>
          <w:rFonts w:ascii="Times Roman" w:hAnsi="Times Roman"/>
          <w:lang w:val="en-US"/>
        </w:rPr>
        <w:t xml:space="preserve"> The mandatory activities for which a certain number of credits are allocated have been designed so that during the doctoral program, a doctoral student obtains the minimum number of credits required (240 credits) and a minimum number of publications/dissemination activities corresponding to a grade of at least "Good". The activity is reported only once, in the category chosen by the doctoral student. Credits can also be awarded for other activities specific to doctoral training and research that have not been included in this </w:t>
      </w:r>
      <w:r>
        <w:rPr>
          <w:rFonts w:ascii="Times Roman" w:hAnsi="Times Roman"/>
          <w:lang w:val="en-US"/>
        </w:rPr>
        <w:lastRenderedPageBreak/>
        <w:t>list at this time; the number of credits will be allocated based on the reasoned proposal of the doctoral student, with the approval of the doctoral supervisor. These credits will be awarded to all students in the same situation.</w:t>
      </w:r>
    </w:p>
    <w:sectPr w:rsidR="0064570B">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EA3" w:rsidRDefault="00966EA3">
      <w:r>
        <w:separator/>
      </w:r>
    </w:p>
  </w:endnote>
  <w:endnote w:type="continuationSeparator" w:id="0">
    <w:p w:rsidR="00966EA3" w:rsidRDefault="0096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EA3" w:rsidRDefault="00966EA3">
      <w:r>
        <w:separator/>
      </w:r>
    </w:p>
  </w:footnote>
  <w:footnote w:type="continuationSeparator" w:id="0">
    <w:p w:rsidR="00966EA3" w:rsidRDefault="00966E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C94"/>
    <w:multiLevelType w:val="hybridMultilevel"/>
    <w:tmpl w:val="519A0C4C"/>
    <w:styleLink w:val="Bullet"/>
    <w:lvl w:ilvl="0" w:tplc="12B64B3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62D6442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90EB75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7F9638B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26E9BB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A35C9A5E">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A6385FA6">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C0925D06">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36B8859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D60D5D"/>
    <w:multiLevelType w:val="hybridMultilevel"/>
    <w:tmpl w:val="519A0C4C"/>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0B"/>
    <w:rsid w:val="005552E2"/>
    <w:rsid w:val="0064570B"/>
    <w:rsid w:val="00966EA3"/>
    <w:rsid w:val="00C3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52D9F-AEF8-474F-A587-AF2DD3C4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a-DK"/>
      <w14:textOutline w14:w="12700" w14:cap="flat" w14:cmpd="sng" w14:algn="ctr">
        <w14:noFill/>
        <w14:prstDash w14:val="solid"/>
        <w14:miter w14:lim="400000"/>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FEF53473-256F-4BC6-908E-3DE181176A3C"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AEE132FD27DD64AAC61E235E4E20FD5" ma:contentTypeVersion="1" ma:contentTypeDescription="Upload an image." ma:contentTypeScope="" ma:versionID="bd80f4d5a8c3f783ff47a5d10eeb71e8">
  <xsd:schema xmlns:xsd="http://www.w3.org/2001/XMLSchema" xmlns:xs="http://www.w3.org/2001/XMLSchema" xmlns:p="http://schemas.microsoft.com/office/2006/metadata/properties" xmlns:ns1="http://schemas.microsoft.com/sharepoint/v3" xmlns:ns2="FEF53473-256F-4BC6-908E-3DE181176A3C" xmlns:ns3="http://schemas.microsoft.com/sharepoint/v3/fields" targetNamespace="http://schemas.microsoft.com/office/2006/metadata/properties" ma:root="true" ma:fieldsID="d27bc85f50fcd015d5278965dbf0ab66" ns1:_="" ns2:_="" ns3:_="">
    <xsd:import namespace="http://schemas.microsoft.com/sharepoint/v3"/>
    <xsd:import namespace="FEF53473-256F-4BC6-908E-3DE181176A3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F53473-256F-4BC6-908E-3DE181176A3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C4087-C191-4C2C-B12F-42FFD2F91F7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2EA3E1F-5564-49F1-B14F-DE0CB344B036}">
  <ds:schemaRefs>
    <ds:schemaRef ds:uri="http://schemas.microsoft.com/sharepoint/v3/contenttype/forms"/>
  </ds:schemaRefs>
</ds:datastoreItem>
</file>

<file path=customXml/itemProps3.xml><?xml version="1.0" encoding="utf-8"?>
<ds:datastoreItem xmlns:ds="http://schemas.openxmlformats.org/officeDocument/2006/customXml" ds:itemID="{84448F17-6AD7-4925-9DBD-51CB67F13E08}"/>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keywords/>
  <dc:description/>
  <cp:lastModifiedBy>PC</cp:lastModifiedBy>
  <cp:revision>2</cp:revision>
  <dcterms:created xsi:type="dcterms:W3CDTF">2026-01-12T09:21:00Z</dcterms:created>
  <dcterms:modified xsi:type="dcterms:W3CDTF">2026-01-12T09:21:00Z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0x0101009148F5A04DDD49CBA7127AADA5FB792B00AADE34325A8B49CDA8BB4DB53328F214008AEE132FD27DD64AAC61E235E4E20FD5</vt:lpwstr>
  </property>
</Properties>
</file>